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E70F7" w14:textId="77777777" w:rsidR="00C667ED" w:rsidRPr="00DA1D6F" w:rsidRDefault="00C667ED" w:rsidP="00C667ED">
      <w:pPr>
        <w:spacing w:after="0" w:line="240" w:lineRule="auto"/>
        <w:jc w:val="center"/>
        <w:rPr>
          <w:rFonts w:ascii="Arial" w:eastAsia="Times New Roman" w:hAnsi="Arial" w:cs="Arial"/>
          <w:b/>
          <w:sz w:val="24"/>
          <w:szCs w:val="24"/>
          <w:lang w:eastAsia="pt-BR"/>
        </w:rPr>
      </w:pPr>
      <w:r w:rsidRPr="00DA1D6F">
        <w:rPr>
          <w:rFonts w:ascii="Arial" w:eastAsia="Times New Roman" w:hAnsi="Arial" w:cs="Arial"/>
          <w:b/>
          <w:sz w:val="24"/>
          <w:szCs w:val="24"/>
          <w:lang w:eastAsia="pt-BR"/>
        </w:rPr>
        <w:t>Anexo V</w:t>
      </w:r>
    </w:p>
    <w:p w14:paraId="4DB092AA" w14:textId="77777777" w:rsidR="00C667ED" w:rsidRPr="00DA1D6F" w:rsidRDefault="00C667ED" w:rsidP="00C667ED">
      <w:pPr>
        <w:spacing w:after="0" w:line="240" w:lineRule="auto"/>
        <w:jc w:val="center"/>
        <w:rPr>
          <w:rFonts w:ascii="Arial" w:eastAsia="Times New Roman" w:hAnsi="Arial" w:cs="Arial"/>
          <w:bCs/>
          <w:sz w:val="20"/>
          <w:szCs w:val="20"/>
          <w:lang w:eastAsia="pt-BR"/>
        </w:rPr>
      </w:pPr>
      <w:r w:rsidRPr="00DA1D6F">
        <w:rPr>
          <w:rFonts w:ascii="Arial" w:eastAsia="Times New Roman" w:hAnsi="Arial" w:cs="Arial"/>
          <w:bCs/>
          <w:sz w:val="20"/>
          <w:szCs w:val="20"/>
          <w:lang w:eastAsia="pt-BR"/>
        </w:rPr>
        <w:t>Licitações de Obras e Serviços de Engenharia via Regime Diferenciado de Contratação</w:t>
      </w:r>
    </w:p>
    <w:p w14:paraId="09F762EC" w14:textId="77777777" w:rsidR="00C667ED" w:rsidRPr="00DA1D6F" w:rsidRDefault="00C667ED" w:rsidP="00C667ED">
      <w:pPr>
        <w:spacing w:after="0" w:line="240" w:lineRule="auto"/>
        <w:jc w:val="center"/>
        <w:rPr>
          <w:rFonts w:ascii="Arial" w:eastAsia="Times New Roman" w:hAnsi="Arial" w:cs="Arial"/>
          <w:bCs/>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122"/>
        <w:gridCol w:w="2212"/>
        <w:gridCol w:w="2099"/>
        <w:gridCol w:w="2063"/>
        <w:gridCol w:w="1489"/>
        <w:gridCol w:w="1592"/>
      </w:tblGrid>
      <w:tr w:rsidR="00D17959" w:rsidRPr="00DA1D6F" w14:paraId="7CEA227C" w14:textId="77777777" w:rsidTr="006E2555">
        <w:trPr>
          <w:trHeight w:val="567"/>
        </w:trPr>
        <w:tc>
          <w:tcPr>
            <w:tcW w:w="557" w:type="dxa"/>
            <w:shd w:val="clear" w:color="000000" w:fill="D5DCE4"/>
            <w:vAlign w:val="center"/>
            <w:hideMark/>
          </w:tcPr>
          <w:p w14:paraId="514F6101" w14:textId="77777777" w:rsidR="00D17959" w:rsidRPr="00DA1D6F" w:rsidRDefault="00D17959" w:rsidP="00236C98">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Item</w:t>
            </w:r>
          </w:p>
        </w:tc>
        <w:tc>
          <w:tcPr>
            <w:tcW w:w="4122" w:type="dxa"/>
            <w:shd w:val="clear" w:color="000000" w:fill="D5DCE4"/>
            <w:vAlign w:val="center"/>
            <w:hideMark/>
          </w:tcPr>
          <w:p w14:paraId="6D49552D" w14:textId="77777777" w:rsidR="00D17959" w:rsidRPr="00DA1D6F" w:rsidRDefault="00D17959" w:rsidP="00236C98">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Descrição</w:t>
            </w:r>
          </w:p>
        </w:tc>
        <w:tc>
          <w:tcPr>
            <w:tcW w:w="2212" w:type="dxa"/>
            <w:shd w:val="clear" w:color="000000" w:fill="D5DCE4"/>
            <w:vAlign w:val="center"/>
            <w:hideMark/>
          </w:tcPr>
          <w:p w14:paraId="31559C2E" w14:textId="77777777" w:rsidR="00D17959" w:rsidRPr="00DA1D6F" w:rsidRDefault="00D17959" w:rsidP="00236C98">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Base Legal e Referências (Critério)</w:t>
            </w:r>
          </w:p>
        </w:tc>
        <w:tc>
          <w:tcPr>
            <w:tcW w:w="2099" w:type="dxa"/>
            <w:shd w:val="clear" w:color="000000" w:fill="D5DCE4"/>
            <w:vAlign w:val="center"/>
            <w:hideMark/>
          </w:tcPr>
          <w:p w14:paraId="3C555BDD" w14:textId="77777777" w:rsidR="00D17959" w:rsidRPr="00DA1D6F" w:rsidRDefault="00D17959" w:rsidP="00236C98">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Responsável pela documentação (1ª linha)</w:t>
            </w:r>
          </w:p>
        </w:tc>
        <w:tc>
          <w:tcPr>
            <w:tcW w:w="2063" w:type="dxa"/>
            <w:shd w:val="clear" w:color="000000" w:fill="D5DCE4"/>
            <w:vAlign w:val="center"/>
            <w:hideMark/>
          </w:tcPr>
          <w:p w14:paraId="31B20E3E" w14:textId="77777777" w:rsidR="00D17959" w:rsidRPr="00DA1D6F" w:rsidRDefault="00D17959" w:rsidP="00236C98">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Evidência esperada (Condição)</w:t>
            </w:r>
          </w:p>
        </w:tc>
        <w:tc>
          <w:tcPr>
            <w:tcW w:w="1489" w:type="dxa"/>
            <w:shd w:val="clear" w:color="000000" w:fill="D5DCE4"/>
            <w:vAlign w:val="center"/>
            <w:hideMark/>
          </w:tcPr>
          <w:p w14:paraId="782C02CE" w14:textId="77777777" w:rsidR="00C667ED" w:rsidRPr="00DA1D6F" w:rsidRDefault="00D17959" w:rsidP="00236C98">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Nº. da peça no</w:t>
            </w:r>
          </w:p>
          <w:p w14:paraId="16D93C04" w14:textId="1FF8E75F" w:rsidR="00D17959" w:rsidRPr="00DA1D6F" w:rsidRDefault="00C667ED" w:rsidP="00236C98">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e</w:t>
            </w:r>
            <w:r w:rsidR="00D17959" w:rsidRPr="00DA1D6F">
              <w:rPr>
                <w:rFonts w:ascii="Arial" w:eastAsia="Times New Roman" w:hAnsi="Arial" w:cs="Arial"/>
                <w:b/>
                <w:bCs/>
                <w:sz w:val="16"/>
                <w:szCs w:val="16"/>
                <w:lang w:eastAsia="pt-BR"/>
              </w:rPr>
              <w:t>-</w:t>
            </w:r>
            <w:proofErr w:type="spellStart"/>
            <w:r w:rsidR="00D17959" w:rsidRPr="00DA1D6F">
              <w:rPr>
                <w:rFonts w:ascii="Arial" w:eastAsia="Times New Roman" w:hAnsi="Arial" w:cs="Arial"/>
                <w:b/>
                <w:bCs/>
                <w:sz w:val="16"/>
                <w:szCs w:val="16"/>
                <w:lang w:eastAsia="pt-BR"/>
              </w:rPr>
              <w:t>Docs</w:t>
            </w:r>
            <w:proofErr w:type="spellEnd"/>
          </w:p>
        </w:tc>
        <w:tc>
          <w:tcPr>
            <w:tcW w:w="1592" w:type="dxa"/>
            <w:shd w:val="clear" w:color="000000" w:fill="D5DCE4"/>
            <w:vAlign w:val="center"/>
            <w:hideMark/>
          </w:tcPr>
          <w:p w14:paraId="18A77066" w14:textId="77777777" w:rsidR="00C667ED" w:rsidRPr="00DA1D6F" w:rsidRDefault="00D17959" w:rsidP="00236C98">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Monitoramento</w:t>
            </w:r>
          </w:p>
          <w:p w14:paraId="26E0109D" w14:textId="2A0EE657" w:rsidR="00D17959" w:rsidRPr="00DA1D6F" w:rsidRDefault="00D17959" w:rsidP="00236C98">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(2ª linha)</w:t>
            </w:r>
          </w:p>
        </w:tc>
      </w:tr>
      <w:tr w:rsidR="00B83357" w:rsidRPr="00DA1D6F" w14:paraId="74838FB2" w14:textId="77777777" w:rsidTr="006E2555">
        <w:trPr>
          <w:trHeight w:val="567"/>
        </w:trPr>
        <w:tc>
          <w:tcPr>
            <w:tcW w:w="557" w:type="dxa"/>
            <w:shd w:val="clear" w:color="auto" w:fill="auto"/>
            <w:vAlign w:val="center"/>
          </w:tcPr>
          <w:p w14:paraId="669EFCA9" w14:textId="736E67AC" w:rsidR="00B83357" w:rsidRPr="00DA1D6F" w:rsidRDefault="00B83357" w:rsidP="00B83357">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w:t>
            </w:r>
          </w:p>
        </w:tc>
        <w:tc>
          <w:tcPr>
            <w:tcW w:w="4122" w:type="dxa"/>
            <w:shd w:val="clear" w:color="auto" w:fill="auto"/>
            <w:vAlign w:val="center"/>
          </w:tcPr>
          <w:p w14:paraId="164E7D69" w14:textId="77777777" w:rsidR="00B83357" w:rsidRPr="00DA1D6F" w:rsidRDefault="00B83357" w:rsidP="00B83357">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Anteprojeto elaborado a partir da solução selecionada no estudo de viabilidade, em se tratando de contratação integrada, com assinatura e identificação do profissional responsável, com os seguintes elementos e documentos:</w:t>
            </w:r>
          </w:p>
          <w:p w14:paraId="5C2DD8D8" w14:textId="77777777" w:rsidR="00B83357" w:rsidRPr="00DA1D6F" w:rsidRDefault="00B83357" w:rsidP="00B83357">
            <w:pPr>
              <w:pStyle w:val="PargrafodaLista"/>
              <w:numPr>
                <w:ilvl w:val="0"/>
                <w:numId w:val="33"/>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programa de necessidades, contendo as exigências e desempenho a serem satisfeitas pelo empreendimento, contendo suas características básicas, área de influência, população atingida e região beneficiada, padrões de acabamento, área construída, durabilidade, qualidade e destinação do bem a ser construído;</w:t>
            </w:r>
          </w:p>
          <w:p w14:paraId="65E4BD0B" w14:textId="77777777" w:rsidR="00B83357" w:rsidRPr="00DA1D6F" w:rsidRDefault="00B83357" w:rsidP="00B83357">
            <w:pPr>
              <w:pStyle w:val="PargrafodaLista"/>
              <w:numPr>
                <w:ilvl w:val="0"/>
                <w:numId w:val="33"/>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demonstração e a justificativa do programa de necessidades, a visão global dos investimentos e as definições quanto ao nível de serviço desejado; </w:t>
            </w:r>
          </w:p>
          <w:p w14:paraId="13354264" w14:textId="77777777" w:rsidR="00B83357" w:rsidRPr="00DA1D6F" w:rsidRDefault="00B83357" w:rsidP="00B83357">
            <w:pPr>
              <w:pStyle w:val="PargrafodaLista"/>
              <w:numPr>
                <w:ilvl w:val="0"/>
                <w:numId w:val="33"/>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condições de solidez, segurança, durabilidade e prazo de entrega; </w:t>
            </w:r>
          </w:p>
          <w:p w14:paraId="7D409F4F" w14:textId="77777777" w:rsidR="00B83357" w:rsidRPr="00DA1D6F" w:rsidRDefault="00B83357" w:rsidP="00B83357">
            <w:pPr>
              <w:pStyle w:val="PargrafodaLista"/>
              <w:numPr>
                <w:ilvl w:val="0"/>
                <w:numId w:val="33"/>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estética do projeto arquitetônico; </w:t>
            </w:r>
          </w:p>
          <w:p w14:paraId="332CA79D" w14:textId="77777777" w:rsidR="00B83357" w:rsidRPr="00DA1D6F" w:rsidRDefault="00B83357" w:rsidP="00B83357">
            <w:pPr>
              <w:pStyle w:val="PargrafodaLista"/>
              <w:numPr>
                <w:ilvl w:val="0"/>
                <w:numId w:val="33"/>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parâmetros de adequação ao interesse público, à economia na utilização, à facilidade na execução, aos impactos ambientais e à acessibilidade; </w:t>
            </w:r>
          </w:p>
          <w:p w14:paraId="7C4FBA21" w14:textId="511292D1" w:rsidR="00B83357" w:rsidRPr="00DA1D6F" w:rsidRDefault="00B83357" w:rsidP="00B83357">
            <w:pPr>
              <w:pStyle w:val="PargrafodaLista"/>
              <w:numPr>
                <w:ilvl w:val="0"/>
                <w:numId w:val="33"/>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Projetos anteriores ou estudos preliminares que embasaram a concepção adotada.</w:t>
            </w:r>
          </w:p>
        </w:tc>
        <w:tc>
          <w:tcPr>
            <w:tcW w:w="2212" w:type="dxa"/>
            <w:shd w:val="clear" w:color="auto" w:fill="auto"/>
            <w:vAlign w:val="center"/>
          </w:tcPr>
          <w:p w14:paraId="1C2D5FFB" w14:textId="7777777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9º, §2º, I;</w:t>
            </w:r>
          </w:p>
          <w:p w14:paraId="13C7DE01" w14:textId="7777777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5.194/66, art. 13 e 14;</w:t>
            </w:r>
          </w:p>
          <w:p w14:paraId="19A482EB" w14:textId="759C7A3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OT IBR 06/2016-IBRAOP.</w:t>
            </w:r>
          </w:p>
        </w:tc>
        <w:tc>
          <w:tcPr>
            <w:tcW w:w="2099" w:type="dxa"/>
            <w:shd w:val="clear" w:color="auto" w:fill="auto"/>
            <w:vAlign w:val="center"/>
          </w:tcPr>
          <w:p w14:paraId="573F3FD2" w14:textId="0F09967B" w:rsidR="00B83357" w:rsidRPr="00DA1D6F" w:rsidRDefault="00B83357"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Setor de engenharia]</w:t>
            </w:r>
          </w:p>
        </w:tc>
        <w:tc>
          <w:tcPr>
            <w:tcW w:w="2063" w:type="dxa"/>
            <w:shd w:val="clear" w:color="auto" w:fill="auto"/>
            <w:vAlign w:val="center"/>
          </w:tcPr>
          <w:p w14:paraId="30803BF3" w14:textId="7DDEA1F4"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Anteprojeto devidamente identificado e assinado pelo autor.</w:t>
            </w:r>
          </w:p>
        </w:tc>
        <w:tc>
          <w:tcPr>
            <w:tcW w:w="1489" w:type="dxa"/>
            <w:shd w:val="clear" w:color="auto" w:fill="auto"/>
            <w:vAlign w:val="center"/>
          </w:tcPr>
          <w:p w14:paraId="428898E4"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0D5E44D6"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r>
      <w:tr w:rsidR="00B83357" w:rsidRPr="00DA1D6F" w14:paraId="0376F829" w14:textId="77777777" w:rsidTr="006E2555">
        <w:trPr>
          <w:trHeight w:val="567"/>
        </w:trPr>
        <w:tc>
          <w:tcPr>
            <w:tcW w:w="557" w:type="dxa"/>
            <w:shd w:val="clear" w:color="auto" w:fill="auto"/>
            <w:vAlign w:val="center"/>
          </w:tcPr>
          <w:p w14:paraId="11411552" w14:textId="19F69828" w:rsidR="00B83357" w:rsidRPr="00DA1D6F" w:rsidRDefault="00B83357" w:rsidP="00B83357">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2</w:t>
            </w:r>
          </w:p>
        </w:tc>
        <w:tc>
          <w:tcPr>
            <w:tcW w:w="4122" w:type="dxa"/>
            <w:shd w:val="clear" w:color="auto" w:fill="auto"/>
            <w:vAlign w:val="center"/>
          </w:tcPr>
          <w:p w14:paraId="08DB9414" w14:textId="4A5A3228" w:rsidR="00B83357" w:rsidRPr="00DA1D6F" w:rsidRDefault="00B83357" w:rsidP="00B83357">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Projeto básico/executivo de obras de edificações, obras rodoviárias/mobilidade urbana, obras de esgotamento sanitário e sistemas de abastecimento no caso dos demais regimes, com assinatura e identificação do profissional responsável.</w:t>
            </w:r>
          </w:p>
        </w:tc>
        <w:tc>
          <w:tcPr>
            <w:tcW w:w="2212" w:type="dxa"/>
            <w:shd w:val="clear" w:color="auto" w:fill="auto"/>
            <w:vAlign w:val="center"/>
          </w:tcPr>
          <w:p w14:paraId="014311E2" w14:textId="7777777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12.462/211, art. 8º, § 5º, c/c, art. 2º, IV e parágrafo único, incisos I a V;</w:t>
            </w:r>
          </w:p>
          <w:p w14:paraId="0511CD6B" w14:textId="7777777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OT IBR Nº 001/2006-IBRAOP.</w:t>
            </w:r>
          </w:p>
          <w:p w14:paraId="6ACC79F6" w14:textId="17022BD6"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5.194/66, art. 13 e 14.</w:t>
            </w:r>
          </w:p>
        </w:tc>
        <w:tc>
          <w:tcPr>
            <w:tcW w:w="2099" w:type="dxa"/>
            <w:shd w:val="clear" w:color="auto" w:fill="auto"/>
            <w:vAlign w:val="center"/>
          </w:tcPr>
          <w:p w14:paraId="416FC322" w14:textId="495864ED" w:rsidR="00B83357" w:rsidRPr="00DA1D6F" w:rsidRDefault="00B83357"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Setor de engenharia]</w:t>
            </w:r>
          </w:p>
        </w:tc>
        <w:tc>
          <w:tcPr>
            <w:tcW w:w="2063" w:type="dxa"/>
            <w:shd w:val="clear" w:color="auto" w:fill="auto"/>
            <w:vAlign w:val="center"/>
          </w:tcPr>
          <w:p w14:paraId="779DD76D" w14:textId="5F24AACC"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Projeto devidamente identificado e assinado pelo autor.</w:t>
            </w:r>
          </w:p>
        </w:tc>
        <w:tc>
          <w:tcPr>
            <w:tcW w:w="1489" w:type="dxa"/>
            <w:shd w:val="clear" w:color="auto" w:fill="auto"/>
            <w:vAlign w:val="center"/>
          </w:tcPr>
          <w:p w14:paraId="7D5E55E6"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27124893"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r>
      <w:tr w:rsidR="00B83357" w:rsidRPr="00DA1D6F" w14:paraId="37337ED9" w14:textId="77777777" w:rsidTr="006E2555">
        <w:trPr>
          <w:trHeight w:val="567"/>
        </w:trPr>
        <w:tc>
          <w:tcPr>
            <w:tcW w:w="557" w:type="dxa"/>
            <w:shd w:val="clear" w:color="auto" w:fill="auto"/>
            <w:vAlign w:val="center"/>
          </w:tcPr>
          <w:p w14:paraId="785E93E6" w14:textId="214F2EAE" w:rsidR="00B83357" w:rsidRPr="00DA1D6F" w:rsidRDefault="00B83357" w:rsidP="00B83357">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3</w:t>
            </w:r>
          </w:p>
        </w:tc>
        <w:tc>
          <w:tcPr>
            <w:tcW w:w="4122" w:type="dxa"/>
            <w:shd w:val="clear" w:color="auto" w:fill="auto"/>
            <w:vAlign w:val="center"/>
          </w:tcPr>
          <w:p w14:paraId="56F4DBEE" w14:textId="77777777" w:rsidR="00B83357" w:rsidRPr="00DA1D6F" w:rsidRDefault="00B83357" w:rsidP="00B83357">
            <w:pPr>
              <w:pStyle w:val="PargrafodaLista"/>
              <w:numPr>
                <w:ilvl w:val="0"/>
                <w:numId w:val="13"/>
              </w:numPr>
              <w:spacing w:before="40" w:after="40" w:line="240" w:lineRule="auto"/>
              <w:ind w:left="12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Licença prévia ambiental, se cabível;</w:t>
            </w:r>
          </w:p>
          <w:p w14:paraId="0AA62F54" w14:textId="77777777" w:rsidR="00B83357" w:rsidRPr="00DA1D6F" w:rsidRDefault="00B83357" w:rsidP="00B83357">
            <w:pPr>
              <w:pStyle w:val="PargrafodaLista"/>
              <w:numPr>
                <w:ilvl w:val="0"/>
                <w:numId w:val="13"/>
              </w:numPr>
              <w:spacing w:before="40" w:after="40" w:line="240" w:lineRule="auto"/>
              <w:ind w:left="12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Indicação da disposição final dos resíduos gerados pelas obras, se for o caso;</w:t>
            </w:r>
          </w:p>
          <w:p w14:paraId="24725247" w14:textId="77777777" w:rsidR="00B83357" w:rsidRPr="00DA1D6F" w:rsidRDefault="00B83357" w:rsidP="00B83357">
            <w:pPr>
              <w:pStyle w:val="PargrafodaLista"/>
              <w:numPr>
                <w:ilvl w:val="0"/>
                <w:numId w:val="13"/>
              </w:numPr>
              <w:spacing w:before="40" w:after="40" w:line="240" w:lineRule="auto"/>
              <w:ind w:left="12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Mitigação por condicionantes e compensação ambiental, se cabível;</w:t>
            </w:r>
          </w:p>
          <w:p w14:paraId="5F5CE486" w14:textId="50CB4070" w:rsidR="00B83357" w:rsidRPr="00DA1D6F" w:rsidRDefault="00B83357" w:rsidP="00B83357">
            <w:pPr>
              <w:pStyle w:val="PargrafodaLista"/>
              <w:numPr>
                <w:ilvl w:val="0"/>
                <w:numId w:val="13"/>
              </w:numPr>
              <w:spacing w:before="40" w:after="40" w:line="240" w:lineRule="auto"/>
              <w:ind w:left="12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Avaliação de impactos de vizinhança, na forma da legislação urbanística, se cabível.</w:t>
            </w:r>
          </w:p>
        </w:tc>
        <w:tc>
          <w:tcPr>
            <w:tcW w:w="2212" w:type="dxa"/>
            <w:shd w:val="clear" w:color="auto" w:fill="auto"/>
            <w:vAlign w:val="center"/>
          </w:tcPr>
          <w:p w14:paraId="2073EFF1" w14:textId="7777777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Resolução Conama nº 001/86, art. 2º;</w:t>
            </w:r>
          </w:p>
          <w:p w14:paraId="1AC8AF91" w14:textId="7777777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Resolução Conama nº 237/97, art.3º;</w:t>
            </w:r>
          </w:p>
          <w:p w14:paraId="09B7E032" w14:textId="20041E4D"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12.462/2011, art. 4º, § 1º, incisos I, II e IV.</w:t>
            </w:r>
          </w:p>
        </w:tc>
        <w:tc>
          <w:tcPr>
            <w:tcW w:w="2099" w:type="dxa"/>
            <w:shd w:val="clear" w:color="auto" w:fill="auto"/>
            <w:vAlign w:val="center"/>
          </w:tcPr>
          <w:p w14:paraId="6E2086C6" w14:textId="590B3488" w:rsidR="00B83357" w:rsidRPr="00DA1D6F" w:rsidRDefault="00B83357"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Setor de engenharia]</w:t>
            </w:r>
          </w:p>
        </w:tc>
        <w:tc>
          <w:tcPr>
            <w:tcW w:w="2063" w:type="dxa"/>
            <w:shd w:val="clear" w:color="auto" w:fill="auto"/>
            <w:vAlign w:val="center"/>
          </w:tcPr>
          <w:p w14:paraId="1DEB26F7" w14:textId="77777777"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Documento emitido pelo órgão ambiental competente;</w:t>
            </w:r>
          </w:p>
          <w:p w14:paraId="6142983C" w14:textId="77777777"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EIA/RIMA;</w:t>
            </w:r>
          </w:p>
          <w:p w14:paraId="70DF4500" w14:textId="52D73313"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EIV.</w:t>
            </w:r>
          </w:p>
        </w:tc>
        <w:tc>
          <w:tcPr>
            <w:tcW w:w="1489" w:type="dxa"/>
            <w:shd w:val="clear" w:color="auto" w:fill="auto"/>
            <w:vAlign w:val="center"/>
          </w:tcPr>
          <w:p w14:paraId="40670092"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4A8DA659"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r>
      <w:tr w:rsidR="00B83357" w:rsidRPr="00DA1D6F" w14:paraId="1D83FF48" w14:textId="77777777" w:rsidTr="006E2555">
        <w:trPr>
          <w:trHeight w:val="567"/>
        </w:trPr>
        <w:tc>
          <w:tcPr>
            <w:tcW w:w="557" w:type="dxa"/>
            <w:shd w:val="clear" w:color="auto" w:fill="auto"/>
            <w:vAlign w:val="center"/>
          </w:tcPr>
          <w:p w14:paraId="748F67DD" w14:textId="4F0AFA77" w:rsidR="00B83357" w:rsidRPr="00DA1D6F" w:rsidRDefault="001A4641" w:rsidP="00B83357">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lastRenderedPageBreak/>
              <w:t>4</w:t>
            </w:r>
          </w:p>
        </w:tc>
        <w:tc>
          <w:tcPr>
            <w:tcW w:w="4122" w:type="dxa"/>
            <w:shd w:val="clear" w:color="auto" w:fill="auto"/>
            <w:vAlign w:val="center"/>
          </w:tcPr>
          <w:p w14:paraId="3C9070C3" w14:textId="40F1D123" w:rsidR="00B83357" w:rsidRPr="00DA1D6F" w:rsidRDefault="00B83357" w:rsidP="00B83357">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Avaliação e aprovação dos órgãos competentes quanto aos impactos no patrimônio cultural, histórico, arqueológico e imaterial, se cabível.</w:t>
            </w:r>
          </w:p>
        </w:tc>
        <w:tc>
          <w:tcPr>
            <w:tcW w:w="2212" w:type="dxa"/>
            <w:shd w:val="clear" w:color="auto" w:fill="auto"/>
            <w:vAlign w:val="center"/>
          </w:tcPr>
          <w:p w14:paraId="0C42BCD7" w14:textId="17F111B2"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4º, §1º, incisos V, §2º.</w:t>
            </w:r>
          </w:p>
        </w:tc>
        <w:tc>
          <w:tcPr>
            <w:tcW w:w="2099" w:type="dxa"/>
            <w:shd w:val="clear" w:color="auto" w:fill="auto"/>
            <w:vAlign w:val="center"/>
          </w:tcPr>
          <w:p w14:paraId="775328F8" w14:textId="1640954F" w:rsidR="00B83357" w:rsidRPr="00DA1D6F" w:rsidRDefault="00B83357"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Setor de engenharia]</w:t>
            </w:r>
          </w:p>
        </w:tc>
        <w:tc>
          <w:tcPr>
            <w:tcW w:w="2063" w:type="dxa"/>
            <w:shd w:val="clear" w:color="auto" w:fill="auto"/>
            <w:vAlign w:val="center"/>
          </w:tcPr>
          <w:p w14:paraId="4C579A05" w14:textId="46ACC1A7"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Documento emitido pelo órgão competente.</w:t>
            </w:r>
          </w:p>
        </w:tc>
        <w:tc>
          <w:tcPr>
            <w:tcW w:w="1489" w:type="dxa"/>
            <w:shd w:val="clear" w:color="auto" w:fill="auto"/>
            <w:vAlign w:val="center"/>
          </w:tcPr>
          <w:p w14:paraId="57BC8942"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76EA81D7"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r>
      <w:tr w:rsidR="00B83357" w:rsidRPr="00DA1D6F" w14:paraId="0D9D06DD" w14:textId="77777777" w:rsidTr="006E2555">
        <w:trPr>
          <w:trHeight w:val="567"/>
        </w:trPr>
        <w:tc>
          <w:tcPr>
            <w:tcW w:w="557" w:type="dxa"/>
            <w:shd w:val="clear" w:color="auto" w:fill="auto"/>
            <w:vAlign w:val="center"/>
          </w:tcPr>
          <w:p w14:paraId="6273B1C7" w14:textId="34078698" w:rsidR="00B83357" w:rsidRPr="00DA1D6F" w:rsidRDefault="001A4641" w:rsidP="00B83357">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5</w:t>
            </w:r>
          </w:p>
        </w:tc>
        <w:tc>
          <w:tcPr>
            <w:tcW w:w="4122" w:type="dxa"/>
            <w:shd w:val="clear" w:color="auto" w:fill="auto"/>
            <w:vAlign w:val="center"/>
          </w:tcPr>
          <w:p w14:paraId="0B781D2D" w14:textId="1FDE4368" w:rsidR="00B83357" w:rsidRPr="00DA1D6F" w:rsidRDefault="00B83357" w:rsidP="00B83357">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Aprovação dos projetos nos órgãos competentes. (prefeitura, corpo de bombeiros, concessionárias de serviços públicos etc.).</w:t>
            </w:r>
          </w:p>
        </w:tc>
        <w:tc>
          <w:tcPr>
            <w:tcW w:w="2212" w:type="dxa"/>
            <w:shd w:val="clear" w:color="auto" w:fill="auto"/>
            <w:vAlign w:val="center"/>
          </w:tcPr>
          <w:p w14:paraId="1A0400D2" w14:textId="2CCCB863"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Legislação Estadual e Municipal.</w:t>
            </w:r>
          </w:p>
        </w:tc>
        <w:tc>
          <w:tcPr>
            <w:tcW w:w="2099" w:type="dxa"/>
            <w:shd w:val="clear" w:color="auto" w:fill="auto"/>
            <w:vAlign w:val="center"/>
          </w:tcPr>
          <w:p w14:paraId="26A037FB" w14:textId="44CA6C01" w:rsidR="00B83357" w:rsidRPr="00DA1D6F" w:rsidRDefault="00B83357"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Setor de engenharia]</w:t>
            </w:r>
          </w:p>
        </w:tc>
        <w:tc>
          <w:tcPr>
            <w:tcW w:w="2063" w:type="dxa"/>
            <w:shd w:val="clear" w:color="auto" w:fill="auto"/>
            <w:vAlign w:val="center"/>
          </w:tcPr>
          <w:p w14:paraId="6B905ACB" w14:textId="249E4B7D"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Projetos aprovados.</w:t>
            </w:r>
          </w:p>
        </w:tc>
        <w:tc>
          <w:tcPr>
            <w:tcW w:w="1489" w:type="dxa"/>
            <w:shd w:val="clear" w:color="auto" w:fill="auto"/>
            <w:vAlign w:val="center"/>
          </w:tcPr>
          <w:p w14:paraId="1BF809F2"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15A2477B"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r>
      <w:tr w:rsidR="00B83357" w:rsidRPr="00DA1D6F" w14:paraId="0FB9AFC6" w14:textId="77777777" w:rsidTr="006E2555">
        <w:trPr>
          <w:trHeight w:val="567"/>
        </w:trPr>
        <w:tc>
          <w:tcPr>
            <w:tcW w:w="557" w:type="dxa"/>
            <w:shd w:val="clear" w:color="auto" w:fill="auto"/>
            <w:vAlign w:val="center"/>
          </w:tcPr>
          <w:p w14:paraId="5C602DF5" w14:textId="7BC33F72" w:rsidR="00B83357" w:rsidRPr="00DA1D6F" w:rsidRDefault="001A4641" w:rsidP="00B83357">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6</w:t>
            </w:r>
          </w:p>
        </w:tc>
        <w:tc>
          <w:tcPr>
            <w:tcW w:w="4122" w:type="dxa"/>
            <w:shd w:val="clear" w:color="auto" w:fill="auto"/>
            <w:vAlign w:val="center"/>
          </w:tcPr>
          <w:p w14:paraId="70CFFB86" w14:textId="376C9766" w:rsidR="00B83357" w:rsidRPr="00DA1D6F" w:rsidRDefault="00B83357" w:rsidP="00B83357">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Declaração do profissional responsável pelo projeto de que foi contemplada a acessibilidade para pessoas portadoras de deficiência ou com mobilidade reduzida, caso não conste da ART/RRT.</w:t>
            </w:r>
          </w:p>
        </w:tc>
        <w:tc>
          <w:tcPr>
            <w:tcW w:w="2212" w:type="dxa"/>
            <w:shd w:val="clear" w:color="auto" w:fill="auto"/>
            <w:vAlign w:val="center"/>
          </w:tcPr>
          <w:p w14:paraId="5BF8F1FB" w14:textId="7777777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nº 10.098/2000, art. 3º e art. 11;</w:t>
            </w:r>
          </w:p>
          <w:p w14:paraId="7868006C" w14:textId="7777777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13.146/2015, art. 56 §1º;</w:t>
            </w:r>
          </w:p>
          <w:p w14:paraId="75F14501" w14:textId="48E5320F"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12.462/2011, art. 4º, § 1º, inciso VI.</w:t>
            </w:r>
          </w:p>
        </w:tc>
        <w:tc>
          <w:tcPr>
            <w:tcW w:w="2099" w:type="dxa"/>
            <w:shd w:val="clear" w:color="auto" w:fill="auto"/>
            <w:vAlign w:val="center"/>
          </w:tcPr>
          <w:p w14:paraId="43F124FC" w14:textId="1BBE48FC" w:rsidR="00B83357" w:rsidRPr="00DA1D6F" w:rsidRDefault="00B83357"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Setor de engenharia]</w:t>
            </w:r>
          </w:p>
        </w:tc>
        <w:tc>
          <w:tcPr>
            <w:tcW w:w="2063" w:type="dxa"/>
            <w:shd w:val="clear" w:color="auto" w:fill="auto"/>
            <w:vAlign w:val="center"/>
          </w:tcPr>
          <w:p w14:paraId="1524A780" w14:textId="6E02B5B9"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Declaração emitida pelo profissional responsável pelo projeto ou constante da ART/RRT.</w:t>
            </w:r>
          </w:p>
        </w:tc>
        <w:tc>
          <w:tcPr>
            <w:tcW w:w="1489" w:type="dxa"/>
            <w:shd w:val="clear" w:color="auto" w:fill="auto"/>
            <w:vAlign w:val="center"/>
          </w:tcPr>
          <w:p w14:paraId="3A3A85B5"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72285109"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r>
      <w:tr w:rsidR="00B83357" w:rsidRPr="00DA1D6F" w14:paraId="5C385DD6" w14:textId="77777777" w:rsidTr="006E2555">
        <w:trPr>
          <w:trHeight w:val="567"/>
        </w:trPr>
        <w:tc>
          <w:tcPr>
            <w:tcW w:w="557" w:type="dxa"/>
            <w:shd w:val="clear" w:color="auto" w:fill="auto"/>
            <w:vAlign w:val="center"/>
          </w:tcPr>
          <w:p w14:paraId="30E0D4AD" w14:textId="5AD4E9BB" w:rsidR="00B83357" w:rsidRPr="00DA1D6F" w:rsidRDefault="001A4641" w:rsidP="00B83357">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7</w:t>
            </w:r>
          </w:p>
        </w:tc>
        <w:tc>
          <w:tcPr>
            <w:tcW w:w="4122" w:type="dxa"/>
            <w:shd w:val="clear" w:color="auto" w:fill="auto"/>
            <w:vAlign w:val="center"/>
          </w:tcPr>
          <w:p w14:paraId="3C4BB0B0" w14:textId="6E1C2B87" w:rsidR="00B83357" w:rsidRPr="00DA1D6F" w:rsidRDefault="00B83357" w:rsidP="00B83357">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Comprovação de titularidade do terreno ou do imóvel onde vai ser realizada a obra, por meio de registro no cartório de imóvel, ou cópia da publicação do Decreto de desapropriação.</w:t>
            </w:r>
          </w:p>
        </w:tc>
        <w:tc>
          <w:tcPr>
            <w:tcW w:w="2212" w:type="dxa"/>
            <w:shd w:val="clear" w:color="auto" w:fill="auto"/>
            <w:vAlign w:val="center"/>
          </w:tcPr>
          <w:p w14:paraId="3EC6207C" w14:textId="49BED41A"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Lei nº 10.406/02, art. 108 e </w:t>
            </w:r>
            <w:proofErr w:type="spellStart"/>
            <w:r w:rsidRPr="00DA1D6F">
              <w:rPr>
                <w:rFonts w:ascii="Arial" w:eastAsia="Times New Roman" w:hAnsi="Arial" w:cs="Arial"/>
                <w:sz w:val="16"/>
                <w:szCs w:val="16"/>
                <w:lang w:eastAsia="pt-BR"/>
              </w:rPr>
              <w:t>arts</w:t>
            </w:r>
            <w:proofErr w:type="spellEnd"/>
            <w:r w:rsidRPr="00DA1D6F">
              <w:rPr>
                <w:rFonts w:ascii="Arial" w:eastAsia="Times New Roman" w:hAnsi="Arial" w:cs="Arial"/>
                <w:sz w:val="16"/>
                <w:szCs w:val="16"/>
                <w:lang w:eastAsia="pt-BR"/>
              </w:rPr>
              <w:t>. 1.253 a 1.259.</w:t>
            </w:r>
          </w:p>
        </w:tc>
        <w:tc>
          <w:tcPr>
            <w:tcW w:w="2099" w:type="dxa"/>
            <w:shd w:val="clear" w:color="auto" w:fill="auto"/>
            <w:vAlign w:val="center"/>
          </w:tcPr>
          <w:p w14:paraId="51D91900" w14:textId="38DBBF3D" w:rsidR="00B83357" w:rsidRPr="00DA1D6F" w:rsidRDefault="00B83357"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[A ser indicado pela entidade, </w:t>
            </w:r>
            <w:proofErr w:type="spellStart"/>
            <w:r w:rsidRPr="00DA1D6F">
              <w:rPr>
                <w:rFonts w:ascii="Arial" w:eastAsia="Times New Roman" w:hAnsi="Arial" w:cs="Arial"/>
                <w:sz w:val="16"/>
                <w:szCs w:val="16"/>
                <w:lang w:eastAsia="pt-BR"/>
              </w:rPr>
              <w:t>ex</w:t>
            </w:r>
            <w:proofErr w:type="spellEnd"/>
            <w:r w:rsidRPr="00DA1D6F">
              <w:rPr>
                <w:rFonts w:ascii="Arial" w:eastAsia="Times New Roman" w:hAnsi="Arial" w:cs="Arial"/>
                <w:sz w:val="16"/>
                <w:szCs w:val="16"/>
                <w:lang w:eastAsia="pt-BR"/>
              </w:rPr>
              <w:t>.:Área demandante]</w:t>
            </w:r>
          </w:p>
        </w:tc>
        <w:tc>
          <w:tcPr>
            <w:tcW w:w="2063" w:type="dxa"/>
            <w:shd w:val="clear" w:color="auto" w:fill="auto"/>
            <w:vAlign w:val="center"/>
          </w:tcPr>
          <w:p w14:paraId="6144602C" w14:textId="77777777"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Escritura pública registrada no Cartório de Registro Geral de Imóveis; ou</w:t>
            </w:r>
          </w:p>
          <w:p w14:paraId="10A0FAAE" w14:textId="172A7019"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Publicação do Decreto de desapropriação no Diário Oficial;</w:t>
            </w:r>
          </w:p>
        </w:tc>
        <w:tc>
          <w:tcPr>
            <w:tcW w:w="1489" w:type="dxa"/>
            <w:shd w:val="clear" w:color="auto" w:fill="auto"/>
            <w:vAlign w:val="center"/>
          </w:tcPr>
          <w:p w14:paraId="0ABDAB59"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29632969"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r>
      <w:tr w:rsidR="00B83357" w:rsidRPr="00DA1D6F" w14:paraId="0D5582EB" w14:textId="77777777" w:rsidTr="006E2555">
        <w:trPr>
          <w:trHeight w:val="567"/>
        </w:trPr>
        <w:tc>
          <w:tcPr>
            <w:tcW w:w="557" w:type="dxa"/>
            <w:shd w:val="clear" w:color="auto" w:fill="auto"/>
            <w:vAlign w:val="center"/>
          </w:tcPr>
          <w:p w14:paraId="7D1D20DF" w14:textId="1269DC02" w:rsidR="00B83357" w:rsidRPr="00DA1D6F" w:rsidRDefault="001A4641" w:rsidP="00B83357">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8</w:t>
            </w:r>
          </w:p>
        </w:tc>
        <w:tc>
          <w:tcPr>
            <w:tcW w:w="4122" w:type="dxa"/>
            <w:shd w:val="clear" w:color="auto" w:fill="auto"/>
            <w:vAlign w:val="center"/>
          </w:tcPr>
          <w:p w14:paraId="7703AE5E" w14:textId="77777777" w:rsidR="00B83357" w:rsidRPr="00DA1D6F" w:rsidRDefault="00B83357" w:rsidP="00B83357">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Estudo de Viabilidade Técnica, Econômica e Ambiental, no caso de contratação integrada, com assinatura e identificação do profissional responsável, constituído de:</w:t>
            </w:r>
          </w:p>
          <w:p w14:paraId="63453EA3" w14:textId="77777777" w:rsidR="00B83357" w:rsidRPr="00DA1D6F" w:rsidRDefault="00B83357" w:rsidP="00B83357">
            <w:pPr>
              <w:pStyle w:val="PargrafodaLista"/>
              <w:numPr>
                <w:ilvl w:val="0"/>
                <w:numId w:val="32"/>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análise e avaliação de alternativas para concepção da obra, seus componentes e instalações;</w:t>
            </w:r>
          </w:p>
          <w:p w14:paraId="7280E208" w14:textId="77777777" w:rsidR="00B83357" w:rsidRPr="00DA1D6F" w:rsidRDefault="00B83357" w:rsidP="00B83357">
            <w:pPr>
              <w:pStyle w:val="PargrafodaLista"/>
              <w:numPr>
                <w:ilvl w:val="0"/>
                <w:numId w:val="32"/>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abordagem dos aspectos técnicos, ambiental, econômico, financeiro e social;</w:t>
            </w:r>
          </w:p>
          <w:p w14:paraId="556C3F8C" w14:textId="77777777" w:rsidR="00B83357" w:rsidRPr="00DA1D6F" w:rsidRDefault="00B83357" w:rsidP="00B83357">
            <w:pPr>
              <w:pStyle w:val="PargrafodaLista"/>
              <w:numPr>
                <w:ilvl w:val="0"/>
                <w:numId w:val="32"/>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caracterização e avaliação das possíveis alternativas para implantação do projeto;</w:t>
            </w:r>
          </w:p>
          <w:p w14:paraId="6182FCC0" w14:textId="3151A716" w:rsidR="00B83357" w:rsidRPr="00DA1D6F" w:rsidRDefault="00B83357" w:rsidP="001A4641">
            <w:pPr>
              <w:pStyle w:val="PargrafodaLista"/>
              <w:numPr>
                <w:ilvl w:val="0"/>
                <w:numId w:val="32"/>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elaboração de estimativa do custo de cada uma delas.</w:t>
            </w:r>
          </w:p>
        </w:tc>
        <w:tc>
          <w:tcPr>
            <w:tcW w:w="2212" w:type="dxa"/>
            <w:shd w:val="clear" w:color="auto" w:fill="auto"/>
            <w:vAlign w:val="center"/>
          </w:tcPr>
          <w:p w14:paraId="78EBA563" w14:textId="77777777"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Lei Federal nº 12.462/2011, art. 9º; </w:t>
            </w:r>
          </w:p>
          <w:p w14:paraId="792747C2" w14:textId="0334BC3B" w:rsidR="00B83357" w:rsidRPr="00DA1D6F" w:rsidRDefault="00B83357" w:rsidP="00B83357">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OT IBR 06/2016-IBRAOP.</w:t>
            </w:r>
          </w:p>
        </w:tc>
        <w:tc>
          <w:tcPr>
            <w:tcW w:w="2099" w:type="dxa"/>
            <w:shd w:val="clear" w:color="auto" w:fill="auto"/>
            <w:vAlign w:val="center"/>
          </w:tcPr>
          <w:p w14:paraId="72F8E0E6" w14:textId="1925E141" w:rsidR="00B83357" w:rsidRPr="00DA1D6F" w:rsidRDefault="00B83357"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Setor de engenharia]</w:t>
            </w:r>
          </w:p>
        </w:tc>
        <w:tc>
          <w:tcPr>
            <w:tcW w:w="2063" w:type="dxa"/>
            <w:shd w:val="clear" w:color="auto" w:fill="auto"/>
            <w:vAlign w:val="center"/>
          </w:tcPr>
          <w:p w14:paraId="50D8C879" w14:textId="5D3F2878" w:rsidR="00B83357" w:rsidRPr="00DA1D6F" w:rsidRDefault="00B83357"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Estudo de viabilidade técnica, econômica e ambiental devidamente identificado e assinado pelo autor.</w:t>
            </w:r>
          </w:p>
        </w:tc>
        <w:tc>
          <w:tcPr>
            <w:tcW w:w="1489" w:type="dxa"/>
            <w:shd w:val="clear" w:color="auto" w:fill="auto"/>
            <w:vAlign w:val="center"/>
          </w:tcPr>
          <w:p w14:paraId="278F999C"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4B04AC5F" w14:textId="77777777" w:rsidR="00B83357" w:rsidRPr="00DA1D6F" w:rsidRDefault="00B83357" w:rsidP="00B83357">
            <w:pPr>
              <w:spacing w:after="0" w:line="240" w:lineRule="auto"/>
              <w:jc w:val="center"/>
              <w:rPr>
                <w:rFonts w:ascii="Arial" w:eastAsia="Times New Roman" w:hAnsi="Arial" w:cs="Arial"/>
                <w:sz w:val="16"/>
                <w:szCs w:val="16"/>
                <w:lang w:eastAsia="pt-BR"/>
              </w:rPr>
            </w:pPr>
          </w:p>
        </w:tc>
      </w:tr>
      <w:tr w:rsidR="001A4641" w:rsidRPr="00DA1D6F" w14:paraId="3BE5D075" w14:textId="77777777" w:rsidTr="006E2555">
        <w:trPr>
          <w:trHeight w:val="567"/>
        </w:trPr>
        <w:tc>
          <w:tcPr>
            <w:tcW w:w="557" w:type="dxa"/>
            <w:shd w:val="clear" w:color="auto" w:fill="auto"/>
            <w:vAlign w:val="center"/>
          </w:tcPr>
          <w:p w14:paraId="7E02972B" w14:textId="5474675B"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9</w:t>
            </w:r>
          </w:p>
        </w:tc>
        <w:tc>
          <w:tcPr>
            <w:tcW w:w="4122" w:type="dxa"/>
            <w:shd w:val="clear" w:color="auto" w:fill="auto"/>
            <w:vAlign w:val="center"/>
          </w:tcPr>
          <w:p w14:paraId="28201D53" w14:textId="77777777"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No caso de contratação integrada, se o anteprojeto contemplar matriz de alocação de riscos entre a administração e o contratado, informar:</w:t>
            </w:r>
          </w:p>
          <w:p w14:paraId="7311B29F" w14:textId="77777777" w:rsidR="001A4641" w:rsidRPr="00DA1D6F" w:rsidRDefault="001A4641" w:rsidP="001A4641">
            <w:pPr>
              <w:pStyle w:val="PargrafodaLista"/>
              <w:numPr>
                <w:ilvl w:val="0"/>
                <w:numId w:val="34"/>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Riscos foram alocados sobre os custos diretos;</w:t>
            </w:r>
          </w:p>
          <w:p w14:paraId="08FE63D1" w14:textId="77777777" w:rsidR="001A4641" w:rsidRPr="00DA1D6F" w:rsidRDefault="001A4641" w:rsidP="001A4641">
            <w:pPr>
              <w:pStyle w:val="PargrafodaLista"/>
              <w:numPr>
                <w:ilvl w:val="0"/>
                <w:numId w:val="34"/>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Identificado o método utilizado (AURUM, FMEA, ISRAM, ARIMA etc.);</w:t>
            </w:r>
          </w:p>
          <w:p w14:paraId="446E56DD" w14:textId="5D1D87F5" w:rsidR="001A4641" w:rsidRPr="00DA1D6F" w:rsidRDefault="001A4641" w:rsidP="001A4641">
            <w:pPr>
              <w:pStyle w:val="PargrafodaLista"/>
              <w:numPr>
                <w:ilvl w:val="0"/>
                <w:numId w:val="34"/>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Demonstrado como obteve o valor. </w:t>
            </w:r>
          </w:p>
        </w:tc>
        <w:tc>
          <w:tcPr>
            <w:tcW w:w="2212" w:type="dxa"/>
            <w:shd w:val="clear" w:color="auto" w:fill="auto"/>
            <w:vAlign w:val="center"/>
          </w:tcPr>
          <w:p w14:paraId="58073B11" w14:textId="40F532B5"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nº 12.462/2011, art.9º, §5º.</w:t>
            </w:r>
          </w:p>
        </w:tc>
        <w:tc>
          <w:tcPr>
            <w:tcW w:w="2099" w:type="dxa"/>
            <w:shd w:val="clear" w:color="auto" w:fill="auto"/>
            <w:vAlign w:val="center"/>
          </w:tcPr>
          <w:p w14:paraId="2871F2C3" w14:textId="43720AE4"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Setor demandan</w:t>
            </w:r>
            <w:r w:rsidR="003D46CC" w:rsidRPr="00DA1D6F">
              <w:rPr>
                <w:rFonts w:ascii="Arial" w:eastAsia="Times New Roman" w:hAnsi="Arial" w:cs="Arial"/>
                <w:sz w:val="16"/>
                <w:szCs w:val="16"/>
                <w:lang w:eastAsia="pt-BR"/>
              </w:rPr>
              <w:t>t</w:t>
            </w:r>
            <w:r w:rsidRPr="00DA1D6F">
              <w:rPr>
                <w:rFonts w:ascii="Arial" w:eastAsia="Times New Roman" w:hAnsi="Arial" w:cs="Arial"/>
                <w:sz w:val="16"/>
                <w:szCs w:val="16"/>
                <w:lang w:eastAsia="pt-BR"/>
              </w:rPr>
              <w:t>e]</w:t>
            </w:r>
          </w:p>
        </w:tc>
        <w:tc>
          <w:tcPr>
            <w:tcW w:w="2063" w:type="dxa"/>
            <w:shd w:val="clear" w:color="auto" w:fill="auto"/>
            <w:vAlign w:val="center"/>
          </w:tcPr>
          <w:p w14:paraId="3C7A8AFA"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Matriz de risco com indicação do método utilizado;</w:t>
            </w:r>
          </w:p>
          <w:p w14:paraId="367AF8C9" w14:textId="44326F10"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Cálculo da taxa de risco considerado no orçamento.</w:t>
            </w:r>
          </w:p>
        </w:tc>
        <w:tc>
          <w:tcPr>
            <w:tcW w:w="1489" w:type="dxa"/>
            <w:shd w:val="clear" w:color="auto" w:fill="auto"/>
            <w:vAlign w:val="center"/>
          </w:tcPr>
          <w:p w14:paraId="26A6F79C"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6E75E52D"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55964FFE" w14:textId="77777777" w:rsidTr="006E2555">
        <w:trPr>
          <w:trHeight w:val="567"/>
        </w:trPr>
        <w:tc>
          <w:tcPr>
            <w:tcW w:w="557" w:type="dxa"/>
            <w:shd w:val="clear" w:color="auto" w:fill="auto"/>
            <w:vAlign w:val="center"/>
          </w:tcPr>
          <w:p w14:paraId="559C71DE" w14:textId="3712971D"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10</w:t>
            </w:r>
          </w:p>
        </w:tc>
        <w:tc>
          <w:tcPr>
            <w:tcW w:w="4122" w:type="dxa"/>
            <w:shd w:val="clear" w:color="auto" w:fill="auto"/>
            <w:vAlign w:val="center"/>
          </w:tcPr>
          <w:p w14:paraId="6DC93D51" w14:textId="058332BA"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ART(s) e/ou RRT(s) do(s) responsável(eis) técnico(s) pela elaboração do projeto e orçamento.</w:t>
            </w:r>
          </w:p>
        </w:tc>
        <w:tc>
          <w:tcPr>
            <w:tcW w:w="2212" w:type="dxa"/>
            <w:shd w:val="clear" w:color="auto" w:fill="auto"/>
            <w:vAlign w:val="center"/>
          </w:tcPr>
          <w:p w14:paraId="153DAE83"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Lei Federal nº 6.496/77, art. 1º e 2º; </w:t>
            </w:r>
          </w:p>
          <w:p w14:paraId="5C424D4D" w14:textId="7A5CA01E"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Súmula TCU Nº. 260.</w:t>
            </w:r>
          </w:p>
        </w:tc>
        <w:tc>
          <w:tcPr>
            <w:tcW w:w="2099" w:type="dxa"/>
            <w:shd w:val="clear" w:color="auto" w:fill="auto"/>
            <w:vAlign w:val="center"/>
          </w:tcPr>
          <w:p w14:paraId="769C6CFE" w14:textId="4E779882"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[A ser indicado pela entidade, </w:t>
            </w:r>
            <w:proofErr w:type="spellStart"/>
            <w:r w:rsidRPr="00DA1D6F">
              <w:rPr>
                <w:rFonts w:ascii="Arial" w:eastAsia="Times New Roman" w:hAnsi="Arial" w:cs="Arial"/>
                <w:sz w:val="16"/>
                <w:szCs w:val="16"/>
                <w:lang w:eastAsia="pt-BR"/>
              </w:rPr>
              <w:t>ex</w:t>
            </w:r>
            <w:proofErr w:type="spellEnd"/>
            <w:r w:rsidRPr="00DA1D6F">
              <w:rPr>
                <w:rFonts w:ascii="Arial" w:eastAsia="Times New Roman" w:hAnsi="Arial" w:cs="Arial"/>
                <w:sz w:val="16"/>
                <w:szCs w:val="16"/>
                <w:lang w:eastAsia="pt-BR"/>
              </w:rPr>
              <w:t>.:Gestor de engenharia]</w:t>
            </w:r>
          </w:p>
        </w:tc>
        <w:tc>
          <w:tcPr>
            <w:tcW w:w="2063" w:type="dxa"/>
            <w:shd w:val="clear" w:color="auto" w:fill="auto"/>
            <w:vAlign w:val="center"/>
          </w:tcPr>
          <w:p w14:paraId="6A0E4D4C" w14:textId="5D228592"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ART ou RRT quitada.</w:t>
            </w:r>
          </w:p>
        </w:tc>
        <w:tc>
          <w:tcPr>
            <w:tcW w:w="1489" w:type="dxa"/>
            <w:shd w:val="clear" w:color="auto" w:fill="auto"/>
            <w:vAlign w:val="center"/>
          </w:tcPr>
          <w:p w14:paraId="41B854B8"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5796F733"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7223E328" w14:textId="77777777" w:rsidTr="006E2555">
        <w:trPr>
          <w:trHeight w:val="567"/>
        </w:trPr>
        <w:tc>
          <w:tcPr>
            <w:tcW w:w="557" w:type="dxa"/>
            <w:shd w:val="clear" w:color="auto" w:fill="auto"/>
            <w:vAlign w:val="center"/>
          </w:tcPr>
          <w:p w14:paraId="55DF03DF" w14:textId="275F172F"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11</w:t>
            </w:r>
          </w:p>
        </w:tc>
        <w:tc>
          <w:tcPr>
            <w:tcW w:w="4122" w:type="dxa"/>
            <w:shd w:val="clear" w:color="auto" w:fill="auto"/>
            <w:vAlign w:val="center"/>
          </w:tcPr>
          <w:p w14:paraId="41AFBB24" w14:textId="77777777"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Parecer Técnico do órgão ou entidade da administração atestando a regularidade da documentação constante dos autos e abordando no mínimo os seguintes itens:</w:t>
            </w:r>
          </w:p>
          <w:p w14:paraId="0DAB35F0"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Sobre o estabelecimento de remuneração variável vinculada ao desempenho da contratada, com base em metas, padrões de qualidade, critérios de sustentabilidade ambiental e prazos de entrega definidos;</w:t>
            </w:r>
          </w:p>
          <w:p w14:paraId="7C40F434"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Critério de definição do número mínimo e máximo de empresas consorciadas;</w:t>
            </w:r>
          </w:p>
          <w:p w14:paraId="62E55BAF"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Custos indiretos, relacionados com as despesas de manutenção, utilização, reposição, depreciação e impacto ambiental, considerados para a definição do menor dispêndio, sempre que objetivamente mensuráveis, quando o julgamento for pelo menor preço ou maior desconto;</w:t>
            </w:r>
          </w:p>
          <w:p w14:paraId="13FB3EE4"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Definição do modo de disputa e do critério de julgamento;</w:t>
            </w:r>
          </w:p>
          <w:p w14:paraId="28A85D0A"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Critério de aceitabilidade dos preços unitários e global;</w:t>
            </w:r>
          </w:p>
          <w:p w14:paraId="5E06028D"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Sobre os fatores de ponderação para valorar propostas cujo julgamento ocorrer por técnica e preço;</w:t>
            </w:r>
          </w:p>
          <w:p w14:paraId="279CC4B9"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Critério de definição do índice de reajuste que retrate a variação efetiva do custo de produção; </w:t>
            </w:r>
          </w:p>
          <w:p w14:paraId="4433BD75"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Critério de definição objetiva dos parâmetros de julgamento de licitações do tipo técnica e preço ou maior retorno econômico;</w:t>
            </w:r>
          </w:p>
          <w:p w14:paraId="0FF7F997"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Critério de escolha das exigências de comprovação de qualificação técnica, inclusive os quantitativos mínimos definidos (devem se restringir às parcelas de maior relevância técnica e de valor significativo);</w:t>
            </w:r>
          </w:p>
          <w:p w14:paraId="372EBF4B" w14:textId="77777777" w:rsidR="001A4641" w:rsidRPr="00DA1D6F" w:rsidRDefault="001A4641" w:rsidP="001A4641">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Critérios objetivos para avaliação e julgamento das propostas caso seja permitido no anteprojeto a apresentação de projetos com metodologias diferentes, se adotado o regime de contratação integrada; </w:t>
            </w:r>
          </w:p>
          <w:p w14:paraId="67A45D1F" w14:textId="36702E07" w:rsidR="001A4641" w:rsidRPr="00DA1D6F" w:rsidRDefault="001A4641" w:rsidP="007D63B3">
            <w:pPr>
              <w:pStyle w:val="PargrafodaLista"/>
              <w:numPr>
                <w:ilvl w:val="0"/>
                <w:numId w:val="31"/>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Critério de aceitabilidade por etapa no caso de contratação integrada.</w:t>
            </w:r>
          </w:p>
        </w:tc>
        <w:tc>
          <w:tcPr>
            <w:tcW w:w="2212" w:type="dxa"/>
            <w:shd w:val="clear" w:color="auto" w:fill="auto"/>
            <w:vAlign w:val="center"/>
          </w:tcPr>
          <w:p w14:paraId="5AC3F443"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 xml:space="preserve">Lei Federal nº 12.462/2011, art. 10; art. 14, parágrafo único, I; art. 19, §1º; </w:t>
            </w:r>
          </w:p>
          <w:p w14:paraId="2A7E9717"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Decreto Federal nº 7.581/2011, art. 8º, III e VI;</w:t>
            </w:r>
          </w:p>
          <w:p w14:paraId="557724A5"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Súmula TCU nº. 259/2010;</w:t>
            </w:r>
          </w:p>
          <w:p w14:paraId="56C5BF3B"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12.462/2011, art. 20, §2º; art. 20, caput;</w:t>
            </w:r>
          </w:p>
          <w:p w14:paraId="7B462CD9"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Decreto Federal nº 7.581/2011, art. 29;</w:t>
            </w:r>
          </w:p>
          <w:p w14:paraId="4E3368AF"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9.069/94, art. 28, caput;</w:t>
            </w:r>
          </w:p>
          <w:p w14:paraId="2543D220"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Súmula TCU nº 263;</w:t>
            </w:r>
          </w:p>
          <w:p w14:paraId="35E0D338"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Decreto Federal nº 7.581/2011 art. 4º, IV, alínea “a”;</w:t>
            </w:r>
          </w:p>
          <w:p w14:paraId="0D13CAA9"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Constituição da República, art. 37, XXI;</w:t>
            </w:r>
          </w:p>
          <w:p w14:paraId="4B527B87"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Súmula TCU nº 263/2011;</w:t>
            </w:r>
          </w:p>
          <w:p w14:paraId="3659C47B"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12.462/2011, art. 9º, §3º, parágrafo único;</w:t>
            </w:r>
          </w:p>
          <w:p w14:paraId="279569AC" w14:textId="2CD385BE"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Decreto Federal nº 7.581/2011, art. 42, §5º.</w:t>
            </w:r>
          </w:p>
        </w:tc>
        <w:tc>
          <w:tcPr>
            <w:tcW w:w="2099" w:type="dxa"/>
            <w:shd w:val="clear" w:color="auto" w:fill="auto"/>
            <w:vAlign w:val="center"/>
          </w:tcPr>
          <w:p w14:paraId="2A03A52E" w14:textId="49BE8272"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[A ser indicado pela entidade, ex.: Presidente da CPL]</w:t>
            </w:r>
          </w:p>
        </w:tc>
        <w:tc>
          <w:tcPr>
            <w:tcW w:w="2063" w:type="dxa"/>
            <w:shd w:val="clear" w:color="auto" w:fill="auto"/>
            <w:vAlign w:val="center"/>
          </w:tcPr>
          <w:p w14:paraId="68E4AA4E" w14:textId="2C9F20A3"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Análise crítica do Presidente da CPL, contendo seu </w:t>
            </w:r>
            <w:r w:rsidRPr="00DA1D6F">
              <w:rPr>
                <w:rFonts w:ascii="Arial" w:eastAsia="Times New Roman" w:hAnsi="Arial" w:cs="Arial"/>
                <w:sz w:val="16"/>
                <w:szCs w:val="16"/>
                <w:lang w:eastAsia="pt-BR"/>
              </w:rPr>
              <w:lastRenderedPageBreak/>
              <w:t>posicionamento sobre as alíneas “a” até “k”.</w:t>
            </w:r>
          </w:p>
        </w:tc>
        <w:tc>
          <w:tcPr>
            <w:tcW w:w="1489" w:type="dxa"/>
            <w:shd w:val="clear" w:color="auto" w:fill="auto"/>
            <w:vAlign w:val="center"/>
          </w:tcPr>
          <w:p w14:paraId="27664EF3"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1AEF873D"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590CEFD7" w14:textId="77777777" w:rsidTr="006E2555">
        <w:trPr>
          <w:trHeight w:val="567"/>
        </w:trPr>
        <w:tc>
          <w:tcPr>
            <w:tcW w:w="557" w:type="dxa"/>
            <w:shd w:val="clear" w:color="auto" w:fill="auto"/>
            <w:vAlign w:val="center"/>
          </w:tcPr>
          <w:p w14:paraId="2D622B48" w14:textId="338AFBDB"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12</w:t>
            </w:r>
          </w:p>
        </w:tc>
        <w:tc>
          <w:tcPr>
            <w:tcW w:w="4122" w:type="dxa"/>
            <w:shd w:val="clear" w:color="auto" w:fill="auto"/>
            <w:vAlign w:val="center"/>
          </w:tcPr>
          <w:p w14:paraId="2A2339A2" w14:textId="51D6397F"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Aprovação do projeto básico ou anteprojeto pela autoridade competente.</w:t>
            </w:r>
          </w:p>
        </w:tc>
        <w:tc>
          <w:tcPr>
            <w:tcW w:w="2212" w:type="dxa"/>
            <w:shd w:val="clear" w:color="auto" w:fill="auto"/>
            <w:vAlign w:val="center"/>
          </w:tcPr>
          <w:p w14:paraId="2466B27A" w14:textId="226896D4"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8º, §5º.</w:t>
            </w:r>
          </w:p>
        </w:tc>
        <w:tc>
          <w:tcPr>
            <w:tcW w:w="2099" w:type="dxa"/>
            <w:shd w:val="clear" w:color="auto" w:fill="auto"/>
            <w:vAlign w:val="center"/>
          </w:tcPr>
          <w:p w14:paraId="12D9B5C2" w14:textId="216F06C1"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ordenador de despesa]</w:t>
            </w:r>
          </w:p>
        </w:tc>
        <w:tc>
          <w:tcPr>
            <w:tcW w:w="2063" w:type="dxa"/>
            <w:shd w:val="clear" w:color="auto" w:fill="auto"/>
            <w:vAlign w:val="center"/>
          </w:tcPr>
          <w:p w14:paraId="451E993C" w14:textId="3B62D562"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Despacho de aprovação.</w:t>
            </w:r>
          </w:p>
        </w:tc>
        <w:tc>
          <w:tcPr>
            <w:tcW w:w="1489" w:type="dxa"/>
            <w:shd w:val="clear" w:color="auto" w:fill="auto"/>
            <w:vAlign w:val="center"/>
          </w:tcPr>
          <w:p w14:paraId="41E970C2"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339793C6"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6B45B83A" w14:textId="77777777" w:rsidTr="006E2555">
        <w:trPr>
          <w:trHeight w:val="567"/>
        </w:trPr>
        <w:tc>
          <w:tcPr>
            <w:tcW w:w="557" w:type="dxa"/>
            <w:shd w:val="clear" w:color="auto" w:fill="auto"/>
            <w:vAlign w:val="center"/>
          </w:tcPr>
          <w:p w14:paraId="142C582C" w14:textId="0AAB3EE7"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13</w:t>
            </w:r>
          </w:p>
        </w:tc>
        <w:tc>
          <w:tcPr>
            <w:tcW w:w="4122" w:type="dxa"/>
            <w:shd w:val="clear" w:color="auto" w:fill="auto"/>
            <w:vAlign w:val="center"/>
          </w:tcPr>
          <w:p w14:paraId="043F5F56" w14:textId="36766F31"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Portaria de delegação de ordenança de despesa (se for o caso).</w:t>
            </w:r>
          </w:p>
        </w:tc>
        <w:tc>
          <w:tcPr>
            <w:tcW w:w="2212" w:type="dxa"/>
            <w:shd w:val="clear" w:color="auto" w:fill="auto"/>
            <w:vAlign w:val="center"/>
          </w:tcPr>
          <w:p w14:paraId="0E39276F" w14:textId="78946AC9"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Leis de organização.</w:t>
            </w:r>
          </w:p>
        </w:tc>
        <w:tc>
          <w:tcPr>
            <w:tcW w:w="2099" w:type="dxa"/>
            <w:shd w:val="clear" w:color="auto" w:fill="auto"/>
            <w:vAlign w:val="center"/>
          </w:tcPr>
          <w:p w14:paraId="41AA81D9" w14:textId="70D1A5DD"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Assessoria do Gabinete]</w:t>
            </w:r>
          </w:p>
        </w:tc>
        <w:tc>
          <w:tcPr>
            <w:tcW w:w="2063" w:type="dxa"/>
            <w:shd w:val="clear" w:color="auto" w:fill="auto"/>
            <w:vAlign w:val="center"/>
          </w:tcPr>
          <w:p w14:paraId="45444855" w14:textId="35D51170"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Portaria publicada no diário oficial.</w:t>
            </w:r>
          </w:p>
        </w:tc>
        <w:tc>
          <w:tcPr>
            <w:tcW w:w="1489" w:type="dxa"/>
            <w:shd w:val="clear" w:color="auto" w:fill="auto"/>
            <w:vAlign w:val="center"/>
          </w:tcPr>
          <w:p w14:paraId="6797D14C"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46454A71"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4D113061" w14:textId="77777777" w:rsidTr="006E2555">
        <w:trPr>
          <w:trHeight w:val="567"/>
        </w:trPr>
        <w:tc>
          <w:tcPr>
            <w:tcW w:w="557" w:type="dxa"/>
            <w:shd w:val="clear" w:color="auto" w:fill="auto"/>
            <w:vAlign w:val="center"/>
          </w:tcPr>
          <w:p w14:paraId="3F9854EA" w14:textId="38FC6041"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14</w:t>
            </w:r>
          </w:p>
        </w:tc>
        <w:tc>
          <w:tcPr>
            <w:tcW w:w="4122" w:type="dxa"/>
            <w:shd w:val="clear" w:color="auto" w:fill="auto"/>
            <w:vAlign w:val="center"/>
          </w:tcPr>
          <w:p w14:paraId="75FCBB7A" w14:textId="77777777"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Nos regimes de empreitada por preço unitário, ou por preço global, ou contratação por tarefa, ou por empreitada integral:</w:t>
            </w:r>
          </w:p>
          <w:p w14:paraId="7BB131D3" w14:textId="77777777" w:rsidR="001A4641" w:rsidRPr="00DA1D6F" w:rsidRDefault="001A4641" w:rsidP="001A4641">
            <w:pPr>
              <w:pStyle w:val="PargrafodaLista"/>
              <w:numPr>
                <w:ilvl w:val="0"/>
                <w:numId w:val="29"/>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Orçamento básico detalhado, obtido a partir de projeto básico/executivo, com indicação da data base </w:t>
            </w:r>
            <w:r w:rsidRPr="00DA1D6F">
              <w:rPr>
                <w:rFonts w:ascii="Arial" w:eastAsia="Times New Roman" w:hAnsi="Arial" w:cs="Arial"/>
                <w:sz w:val="16"/>
                <w:szCs w:val="16"/>
                <w:lang w:eastAsia="pt-BR"/>
              </w:rPr>
              <w:lastRenderedPageBreak/>
              <w:t>dos preços, tabela referencial e taxa de BDI adotada com assinatura e identificação do profissional responsável, contendo nome, titulação e número de registro no conselho de classe, contendo, no mínimo os elementos a seguir.</w:t>
            </w:r>
          </w:p>
          <w:p w14:paraId="57D16B41" w14:textId="77777777" w:rsidR="001A4641" w:rsidRPr="00DA1D6F" w:rsidRDefault="001A4641" w:rsidP="001A4641">
            <w:pPr>
              <w:pStyle w:val="PargrafodaLista"/>
              <w:numPr>
                <w:ilvl w:val="0"/>
                <w:numId w:val="29"/>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Composições de custo unitário dos serviços não constantes das tabelas referenciais divulgadas publicamente, com assinatura e identificação do profissional responsável;</w:t>
            </w:r>
          </w:p>
          <w:p w14:paraId="180C8358" w14:textId="77777777" w:rsidR="001A4641" w:rsidRPr="00DA1D6F" w:rsidRDefault="001A4641" w:rsidP="001A4641">
            <w:pPr>
              <w:pStyle w:val="PargrafodaLista"/>
              <w:numPr>
                <w:ilvl w:val="0"/>
                <w:numId w:val="29"/>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Mapa comparativo de preços formados a partir de cotações no mercado, com assinatura e identificação do profissional responsável;</w:t>
            </w:r>
          </w:p>
          <w:p w14:paraId="33177B92" w14:textId="77777777" w:rsidR="001A4641" w:rsidRPr="00DA1D6F" w:rsidRDefault="001A4641" w:rsidP="001A4641">
            <w:pPr>
              <w:pStyle w:val="PargrafodaLista"/>
              <w:numPr>
                <w:ilvl w:val="0"/>
                <w:numId w:val="29"/>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Composição do BDI nos casos diferentes dos padrões adotados pelo Estado, com assinatura e identificação do profissional responsável;</w:t>
            </w:r>
          </w:p>
          <w:p w14:paraId="51FE713E" w14:textId="23856CBE" w:rsidR="001A4641" w:rsidRPr="00DA1D6F" w:rsidRDefault="001A4641" w:rsidP="007D63B3">
            <w:pPr>
              <w:pStyle w:val="PargrafodaLista"/>
              <w:numPr>
                <w:ilvl w:val="0"/>
                <w:numId w:val="29"/>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Curva ABC dos serviços, com assinatura e identificação do profissional responsável.</w:t>
            </w:r>
          </w:p>
        </w:tc>
        <w:tc>
          <w:tcPr>
            <w:tcW w:w="2212" w:type="dxa"/>
            <w:shd w:val="clear" w:color="auto" w:fill="auto"/>
            <w:vAlign w:val="center"/>
          </w:tcPr>
          <w:p w14:paraId="53D80EBE"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Lei Federal nº 12.462/2011, art. 2º, parágrafo único, VI c/c §3º, §4º, §5º e §6º; art. 8º.</w:t>
            </w:r>
          </w:p>
          <w:p w14:paraId="22BA62DF"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Decreto Federal nº 7.581/2011 art. 4º, II, b c/c art. 8º, §2º, II;</w:t>
            </w:r>
          </w:p>
          <w:p w14:paraId="636FC24D"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Resolução TCEES nº 329/2019;</w:t>
            </w:r>
          </w:p>
          <w:p w14:paraId="294B485E" w14:textId="517DF424"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OT IBR nº 005/2012-IBRAOP.</w:t>
            </w:r>
          </w:p>
        </w:tc>
        <w:tc>
          <w:tcPr>
            <w:tcW w:w="2099" w:type="dxa"/>
            <w:shd w:val="clear" w:color="auto" w:fill="auto"/>
            <w:vAlign w:val="center"/>
          </w:tcPr>
          <w:p w14:paraId="482406C1" w14:textId="680BDFB1"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 xml:space="preserve">[A ser indicado pela entidade, </w:t>
            </w:r>
            <w:proofErr w:type="spellStart"/>
            <w:r w:rsidRPr="00DA1D6F">
              <w:rPr>
                <w:rFonts w:ascii="Arial" w:eastAsia="Times New Roman" w:hAnsi="Arial" w:cs="Arial"/>
                <w:sz w:val="16"/>
                <w:szCs w:val="16"/>
                <w:lang w:eastAsia="pt-BR"/>
              </w:rPr>
              <w:t>ex</w:t>
            </w:r>
            <w:proofErr w:type="spellEnd"/>
            <w:r w:rsidRPr="00DA1D6F">
              <w:rPr>
                <w:rFonts w:ascii="Arial" w:eastAsia="Times New Roman" w:hAnsi="Arial" w:cs="Arial"/>
                <w:sz w:val="16"/>
                <w:szCs w:val="16"/>
                <w:lang w:eastAsia="pt-BR"/>
              </w:rPr>
              <w:t>.:Setor do orçamento]</w:t>
            </w:r>
          </w:p>
        </w:tc>
        <w:tc>
          <w:tcPr>
            <w:tcW w:w="2063" w:type="dxa"/>
            <w:shd w:val="clear" w:color="auto" w:fill="auto"/>
            <w:vAlign w:val="center"/>
          </w:tcPr>
          <w:p w14:paraId="2A91889B"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Planilha orçamentária;</w:t>
            </w:r>
          </w:p>
          <w:p w14:paraId="2C326D17"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Composição de preços unitários dos serviços não </w:t>
            </w:r>
            <w:r w:rsidRPr="00DA1D6F">
              <w:rPr>
                <w:rFonts w:ascii="Arial" w:eastAsia="Times New Roman" w:hAnsi="Arial" w:cs="Arial"/>
                <w:sz w:val="16"/>
                <w:szCs w:val="16"/>
                <w:lang w:eastAsia="pt-BR"/>
              </w:rPr>
              <w:lastRenderedPageBreak/>
              <w:t>constantes das tabelas referenciais;</w:t>
            </w:r>
          </w:p>
          <w:p w14:paraId="258FC979"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Mapa comparativo de preços;</w:t>
            </w:r>
          </w:p>
          <w:p w14:paraId="1830F0B0"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Composição do BDI;</w:t>
            </w:r>
          </w:p>
          <w:p w14:paraId="2923F454" w14:textId="288E5F9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Curva ABC.</w:t>
            </w:r>
          </w:p>
        </w:tc>
        <w:tc>
          <w:tcPr>
            <w:tcW w:w="1489" w:type="dxa"/>
            <w:shd w:val="clear" w:color="auto" w:fill="auto"/>
            <w:vAlign w:val="center"/>
          </w:tcPr>
          <w:p w14:paraId="636108AA"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1C964CE8"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0A8456F8" w14:textId="77777777" w:rsidTr="006E2555">
        <w:trPr>
          <w:trHeight w:val="567"/>
        </w:trPr>
        <w:tc>
          <w:tcPr>
            <w:tcW w:w="557" w:type="dxa"/>
            <w:shd w:val="clear" w:color="auto" w:fill="auto"/>
            <w:vAlign w:val="center"/>
          </w:tcPr>
          <w:p w14:paraId="31C30CC0" w14:textId="43189249"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15</w:t>
            </w:r>
          </w:p>
        </w:tc>
        <w:tc>
          <w:tcPr>
            <w:tcW w:w="4122" w:type="dxa"/>
            <w:shd w:val="clear" w:color="auto" w:fill="auto"/>
            <w:vAlign w:val="center"/>
          </w:tcPr>
          <w:p w14:paraId="22CD01E3" w14:textId="0ACE43FE"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No caso de regime de contratação integrada, orçamento e preço estimado da contratação calculado com base nos valores praticados no mercado, nos valores pagos pela administração pública em contratações similares ou na avaliação do custo global da obra, aferida mediante orçamento sintético ou metodologia expedita ou paramétrica.</w:t>
            </w:r>
          </w:p>
        </w:tc>
        <w:tc>
          <w:tcPr>
            <w:tcW w:w="2212" w:type="dxa"/>
            <w:shd w:val="clear" w:color="auto" w:fill="auto"/>
            <w:vAlign w:val="center"/>
          </w:tcPr>
          <w:p w14:paraId="261328FD"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9º, §2º, II;</w:t>
            </w:r>
          </w:p>
          <w:p w14:paraId="481830DA"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Decreto Federal nº 7.581/2011, art. 75.</w:t>
            </w:r>
          </w:p>
          <w:p w14:paraId="6316E4D9"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Resolução TCEES nº 329/2019;</w:t>
            </w:r>
          </w:p>
          <w:p w14:paraId="005647E1"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OT IBR nº 005/2012-IBRAOP;</w:t>
            </w:r>
          </w:p>
          <w:p w14:paraId="09103D90"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OT IBR nº 006/2016-IBRAOP;</w:t>
            </w:r>
          </w:p>
          <w:p w14:paraId="2DCE16AA" w14:textId="4F1660FB"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OT-002/2014-IBRAENG.</w:t>
            </w:r>
          </w:p>
        </w:tc>
        <w:tc>
          <w:tcPr>
            <w:tcW w:w="2099" w:type="dxa"/>
            <w:shd w:val="clear" w:color="auto" w:fill="auto"/>
            <w:vAlign w:val="center"/>
          </w:tcPr>
          <w:p w14:paraId="5648503F" w14:textId="289350B9"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[A ser indicado pela entidade, </w:t>
            </w:r>
            <w:proofErr w:type="spellStart"/>
            <w:r w:rsidRPr="00DA1D6F">
              <w:rPr>
                <w:rFonts w:ascii="Arial" w:eastAsia="Times New Roman" w:hAnsi="Arial" w:cs="Arial"/>
                <w:sz w:val="16"/>
                <w:szCs w:val="16"/>
                <w:lang w:eastAsia="pt-BR"/>
              </w:rPr>
              <w:t>ex</w:t>
            </w:r>
            <w:proofErr w:type="spellEnd"/>
            <w:r w:rsidRPr="00DA1D6F">
              <w:rPr>
                <w:rFonts w:ascii="Arial" w:eastAsia="Times New Roman" w:hAnsi="Arial" w:cs="Arial"/>
                <w:sz w:val="16"/>
                <w:szCs w:val="16"/>
                <w:lang w:eastAsia="pt-BR"/>
              </w:rPr>
              <w:t>.:Setor do orçamento]</w:t>
            </w:r>
          </w:p>
        </w:tc>
        <w:tc>
          <w:tcPr>
            <w:tcW w:w="2063" w:type="dxa"/>
            <w:shd w:val="clear" w:color="auto" w:fill="auto"/>
            <w:vAlign w:val="center"/>
          </w:tcPr>
          <w:p w14:paraId="368C81B4"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Orçamento sintético:</w:t>
            </w:r>
          </w:p>
          <w:p w14:paraId="4758AE95"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Planilha orçamentária;</w:t>
            </w:r>
          </w:p>
          <w:p w14:paraId="302E5BF4"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Mapa comparativo de preços;</w:t>
            </w:r>
          </w:p>
          <w:p w14:paraId="7D8A609A"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Curva ABC.</w:t>
            </w:r>
          </w:p>
          <w:p w14:paraId="40A8E04B"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Metodologia expedita:</w:t>
            </w:r>
          </w:p>
          <w:p w14:paraId="29B169E6"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Indicação da fonte ou o cálculo para obtenção dos preços médios por unidade ou característica do empreendimento.</w:t>
            </w:r>
          </w:p>
          <w:p w14:paraId="16386F6E"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Metodologia paramétrica</w:t>
            </w:r>
          </w:p>
          <w:p w14:paraId="0E177E65"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Planilha orçamentária;</w:t>
            </w:r>
          </w:p>
          <w:p w14:paraId="2F3B6E95" w14:textId="36589B58"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Cálculo e fonte dos dados, utilizados para parâmetros dos custos.</w:t>
            </w:r>
          </w:p>
        </w:tc>
        <w:tc>
          <w:tcPr>
            <w:tcW w:w="1489" w:type="dxa"/>
            <w:shd w:val="clear" w:color="auto" w:fill="auto"/>
            <w:vAlign w:val="center"/>
          </w:tcPr>
          <w:p w14:paraId="160E20F9"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3713B7F1"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33CE5CEB" w14:textId="77777777" w:rsidTr="006E2555">
        <w:trPr>
          <w:trHeight w:val="567"/>
        </w:trPr>
        <w:tc>
          <w:tcPr>
            <w:tcW w:w="557" w:type="dxa"/>
            <w:shd w:val="clear" w:color="auto" w:fill="auto"/>
            <w:vAlign w:val="center"/>
          </w:tcPr>
          <w:p w14:paraId="6A734D51" w14:textId="2665CEAD"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16</w:t>
            </w:r>
          </w:p>
        </w:tc>
        <w:tc>
          <w:tcPr>
            <w:tcW w:w="4122" w:type="dxa"/>
            <w:shd w:val="clear" w:color="auto" w:fill="auto"/>
            <w:vAlign w:val="center"/>
          </w:tcPr>
          <w:p w14:paraId="6469FA29" w14:textId="0AC15CD8"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Memorial de cálculo dos quantitativos de serviços orçados.</w:t>
            </w:r>
          </w:p>
        </w:tc>
        <w:tc>
          <w:tcPr>
            <w:tcW w:w="2212" w:type="dxa"/>
            <w:shd w:val="clear" w:color="auto" w:fill="auto"/>
            <w:vAlign w:val="center"/>
          </w:tcPr>
          <w:p w14:paraId="50AED9A6" w14:textId="37136E36"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2º, parágrafo único, VI.</w:t>
            </w:r>
          </w:p>
        </w:tc>
        <w:tc>
          <w:tcPr>
            <w:tcW w:w="2099" w:type="dxa"/>
            <w:shd w:val="clear" w:color="auto" w:fill="auto"/>
            <w:vAlign w:val="center"/>
          </w:tcPr>
          <w:p w14:paraId="5EE09E94" w14:textId="7F77E81E"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[A ser indicado pela entidade, </w:t>
            </w:r>
            <w:proofErr w:type="spellStart"/>
            <w:r w:rsidRPr="00DA1D6F">
              <w:rPr>
                <w:rFonts w:ascii="Arial" w:eastAsia="Times New Roman" w:hAnsi="Arial" w:cs="Arial"/>
                <w:sz w:val="16"/>
                <w:szCs w:val="16"/>
                <w:lang w:eastAsia="pt-BR"/>
              </w:rPr>
              <w:t>ex</w:t>
            </w:r>
            <w:proofErr w:type="spellEnd"/>
            <w:r w:rsidRPr="00DA1D6F">
              <w:rPr>
                <w:rFonts w:ascii="Arial" w:eastAsia="Times New Roman" w:hAnsi="Arial" w:cs="Arial"/>
                <w:sz w:val="16"/>
                <w:szCs w:val="16"/>
                <w:lang w:eastAsia="pt-BR"/>
              </w:rPr>
              <w:t>.:gestor do orçamento]</w:t>
            </w:r>
          </w:p>
        </w:tc>
        <w:tc>
          <w:tcPr>
            <w:tcW w:w="2063" w:type="dxa"/>
            <w:shd w:val="clear" w:color="auto" w:fill="auto"/>
            <w:vAlign w:val="center"/>
          </w:tcPr>
          <w:p w14:paraId="6A307578" w14:textId="3610C800"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Memória de cálculo.</w:t>
            </w:r>
          </w:p>
        </w:tc>
        <w:tc>
          <w:tcPr>
            <w:tcW w:w="1489" w:type="dxa"/>
            <w:shd w:val="clear" w:color="auto" w:fill="auto"/>
            <w:vAlign w:val="center"/>
          </w:tcPr>
          <w:p w14:paraId="60177766"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7F4C7917"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72087ACE" w14:textId="77777777" w:rsidTr="006E2555">
        <w:trPr>
          <w:trHeight w:val="567"/>
        </w:trPr>
        <w:tc>
          <w:tcPr>
            <w:tcW w:w="557" w:type="dxa"/>
            <w:shd w:val="clear" w:color="auto" w:fill="auto"/>
            <w:vAlign w:val="center"/>
          </w:tcPr>
          <w:p w14:paraId="14AE8BDB" w14:textId="04469DD5"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17</w:t>
            </w:r>
          </w:p>
        </w:tc>
        <w:tc>
          <w:tcPr>
            <w:tcW w:w="4122" w:type="dxa"/>
            <w:shd w:val="clear" w:color="auto" w:fill="auto"/>
            <w:vAlign w:val="center"/>
          </w:tcPr>
          <w:p w14:paraId="65B4E8D8" w14:textId="77777777"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Análise crítica da obra ou serviço de engenharia, informando no mínimo:</w:t>
            </w:r>
          </w:p>
          <w:p w14:paraId="68559B6E" w14:textId="77777777" w:rsidR="001A4641" w:rsidRPr="00DA1D6F" w:rsidRDefault="001A4641" w:rsidP="001A4641">
            <w:pPr>
              <w:pStyle w:val="PargrafodaLista"/>
              <w:numPr>
                <w:ilvl w:val="0"/>
                <w:numId w:val="30"/>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sobre a utilização dos valores constante das Tabelas de Preços Referenciais do Governo do Estado (citar tabela referência, data-base de cada tabela e estabelecimento de data base única para toda a planilha orçamentária);</w:t>
            </w:r>
          </w:p>
          <w:p w14:paraId="3738B98E" w14:textId="77777777" w:rsidR="001A4641" w:rsidRPr="00DA1D6F" w:rsidRDefault="001A4641" w:rsidP="001A4641">
            <w:pPr>
              <w:pStyle w:val="PargrafodaLista"/>
              <w:numPr>
                <w:ilvl w:val="0"/>
                <w:numId w:val="30"/>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se o BDI e os encargos sociais utilizados estão compatíveis com os adotados pelo Estado;</w:t>
            </w:r>
          </w:p>
          <w:p w14:paraId="16335A53" w14:textId="77777777" w:rsidR="001A4641" w:rsidRPr="00DA1D6F" w:rsidRDefault="001A4641" w:rsidP="001A4641">
            <w:pPr>
              <w:pStyle w:val="PargrafodaLista"/>
              <w:numPr>
                <w:ilvl w:val="0"/>
                <w:numId w:val="30"/>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sobre realização de ampla pesquisa de preços, com consulta a fornecedores e/ou a referência de preços obtidos a partir dos contratos anteriores do próprio órgão, de contratos de outros órgãos, ou quaisquer outras fontes capazes de retratar o valor de mercado dos itens do orçamento;</w:t>
            </w:r>
          </w:p>
          <w:p w14:paraId="4B1CDE8B" w14:textId="77777777" w:rsidR="001A4641" w:rsidRPr="00DA1D6F" w:rsidRDefault="001A4641" w:rsidP="001A4641">
            <w:pPr>
              <w:pStyle w:val="PargrafodaLista"/>
              <w:numPr>
                <w:ilvl w:val="0"/>
                <w:numId w:val="30"/>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informação sobre utilização de BDI diferenciado para compras específicas de materiais e equipamentos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w:t>
            </w:r>
          </w:p>
          <w:p w14:paraId="2D9263C6" w14:textId="77777777" w:rsidR="001A4641" w:rsidRPr="00DA1D6F" w:rsidRDefault="001A4641" w:rsidP="001A4641">
            <w:pPr>
              <w:pStyle w:val="PargrafodaLista"/>
              <w:numPr>
                <w:ilvl w:val="0"/>
                <w:numId w:val="30"/>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sobre consideração de taxa de risco compatível com o objeto da licitação e as contingências atribuídas ao contratado, a ser estabelecida a partir de matriz de alocação de riscos entre a administração pública e o contratado, no caso de contratação integrada;</w:t>
            </w:r>
          </w:p>
          <w:p w14:paraId="640A5E45" w14:textId="77777777" w:rsidR="001A4641" w:rsidRPr="00DA1D6F" w:rsidRDefault="001A4641" w:rsidP="001A4641">
            <w:pPr>
              <w:pStyle w:val="PargrafodaLista"/>
              <w:numPr>
                <w:ilvl w:val="0"/>
                <w:numId w:val="30"/>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sobre a metodologia para elaboração do orçamento, no caso de contratação integrada;</w:t>
            </w:r>
          </w:p>
          <w:p w14:paraId="073802EA" w14:textId="2AE35F4B" w:rsidR="001A4641" w:rsidRPr="00DA1D6F" w:rsidRDefault="001A4641" w:rsidP="007D63B3">
            <w:pPr>
              <w:pStyle w:val="PargrafodaLista"/>
              <w:numPr>
                <w:ilvl w:val="0"/>
                <w:numId w:val="30"/>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sobre a compatibilidade do orçamento com os projetos e demais documentos técnicos apresentados.</w:t>
            </w:r>
          </w:p>
        </w:tc>
        <w:tc>
          <w:tcPr>
            <w:tcW w:w="2212" w:type="dxa"/>
            <w:shd w:val="clear" w:color="auto" w:fill="auto"/>
            <w:vAlign w:val="center"/>
          </w:tcPr>
          <w:p w14:paraId="3E369B0D"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 xml:space="preserve">Acórdão TCU nº 403/2013 - Primeira Câmara; </w:t>
            </w:r>
          </w:p>
          <w:p w14:paraId="4FE71112"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Resolução TCEES nº 329/2019;  </w:t>
            </w:r>
          </w:p>
          <w:p w14:paraId="6E86C716"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Decreto Federal nº 7.983/2013; </w:t>
            </w:r>
          </w:p>
          <w:p w14:paraId="4390983E"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Decreto Estadual nº 1.955-R/2007; </w:t>
            </w:r>
          </w:p>
          <w:p w14:paraId="1D2D691A"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 xml:space="preserve">Resolução CONFEA nº 361/1991; </w:t>
            </w:r>
          </w:p>
          <w:p w14:paraId="7225D778"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Súmula 258/2010 do TCU;</w:t>
            </w:r>
          </w:p>
          <w:p w14:paraId="0AD480E3" w14:textId="30C80C4F"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9º, § 5º.</w:t>
            </w:r>
          </w:p>
        </w:tc>
        <w:tc>
          <w:tcPr>
            <w:tcW w:w="2099" w:type="dxa"/>
            <w:shd w:val="clear" w:color="auto" w:fill="auto"/>
            <w:vAlign w:val="center"/>
          </w:tcPr>
          <w:p w14:paraId="15612895" w14:textId="058CF3F7"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[A ser indicado pela entidade, ex.: Gestor de engenharia]</w:t>
            </w:r>
          </w:p>
        </w:tc>
        <w:tc>
          <w:tcPr>
            <w:tcW w:w="2063" w:type="dxa"/>
            <w:shd w:val="clear" w:color="auto" w:fill="auto"/>
            <w:vAlign w:val="center"/>
          </w:tcPr>
          <w:p w14:paraId="4B5EA4BC" w14:textId="0B78063A"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Análise crítica do Gerente de engenharia, contendo posicionamento sobre as alíneas “a” até “g”.</w:t>
            </w:r>
          </w:p>
        </w:tc>
        <w:tc>
          <w:tcPr>
            <w:tcW w:w="1489" w:type="dxa"/>
            <w:shd w:val="clear" w:color="auto" w:fill="auto"/>
            <w:vAlign w:val="center"/>
          </w:tcPr>
          <w:p w14:paraId="08E29A84"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784E61BD"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1BB60559" w14:textId="77777777" w:rsidTr="006E2555">
        <w:trPr>
          <w:trHeight w:val="567"/>
        </w:trPr>
        <w:tc>
          <w:tcPr>
            <w:tcW w:w="557" w:type="dxa"/>
            <w:shd w:val="clear" w:color="auto" w:fill="auto"/>
            <w:vAlign w:val="center"/>
          </w:tcPr>
          <w:p w14:paraId="447E888B" w14:textId="38506F99"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18</w:t>
            </w:r>
          </w:p>
        </w:tc>
        <w:tc>
          <w:tcPr>
            <w:tcW w:w="4122" w:type="dxa"/>
            <w:shd w:val="clear" w:color="auto" w:fill="auto"/>
            <w:vAlign w:val="center"/>
          </w:tcPr>
          <w:p w14:paraId="45490DF1" w14:textId="1157D830"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Cópia do ato que designou a comissão de licitação composta de pelo menos 3 membros, sendo ao menos dois deles pertencentes aos quadros permanentes do órgão da administração responsável pela licitação.</w:t>
            </w:r>
          </w:p>
        </w:tc>
        <w:tc>
          <w:tcPr>
            <w:tcW w:w="2212" w:type="dxa"/>
            <w:shd w:val="clear" w:color="auto" w:fill="auto"/>
            <w:vAlign w:val="center"/>
          </w:tcPr>
          <w:p w14:paraId="720D54E5"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Lei Federal nº 12.462/2011, art. 34; </w:t>
            </w:r>
          </w:p>
          <w:p w14:paraId="1EA8C167" w14:textId="047EBC86"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Decreto Federal nº 7.581/2011 art. 4º, XII, art. 6º, § 1º.</w:t>
            </w:r>
          </w:p>
        </w:tc>
        <w:tc>
          <w:tcPr>
            <w:tcW w:w="2099" w:type="dxa"/>
            <w:shd w:val="clear" w:color="auto" w:fill="auto"/>
            <w:vAlign w:val="center"/>
          </w:tcPr>
          <w:p w14:paraId="4B1040A5" w14:textId="0D130061"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CPL]</w:t>
            </w:r>
          </w:p>
        </w:tc>
        <w:tc>
          <w:tcPr>
            <w:tcW w:w="2063" w:type="dxa"/>
            <w:shd w:val="clear" w:color="auto" w:fill="auto"/>
            <w:vAlign w:val="center"/>
          </w:tcPr>
          <w:p w14:paraId="2D023659"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Portaria atual publicada no diário oficial;</w:t>
            </w:r>
          </w:p>
          <w:p w14:paraId="48EBB525"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Portaria anterior publicada no diário oficial;</w:t>
            </w:r>
          </w:p>
          <w:p w14:paraId="498CC492" w14:textId="15912ADB"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Declaração do GRH ou documento que comprove quais servidores designados são do quadro permanente.</w:t>
            </w:r>
          </w:p>
        </w:tc>
        <w:tc>
          <w:tcPr>
            <w:tcW w:w="1489" w:type="dxa"/>
            <w:shd w:val="clear" w:color="auto" w:fill="auto"/>
            <w:vAlign w:val="center"/>
          </w:tcPr>
          <w:p w14:paraId="385DEB95"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0623851B"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1CE9F5A2" w14:textId="77777777" w:rsidTr="006E2555">
        <w:trPr>
          <w:trHeight w:val="567"/>
        </w:trPr>
        <w:tc>
          <w:tcPr>
            <w:tcW w:w="557" w:type="dxa"/>
            <w:shd w:val="clear" w:color="auto" w:fill="auto"/>
            <w:vAlign w:val="center"/>
          </w:tcPr>
          <w:p w14:paraId="712BA5F8" w14:textId="6ADECAC9"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19</w:t>
            </w:r>
          </w:p>
        </w:tc>
        <w:tc>
          <w:tcPr>
            <w:tcW w:w="4122" w:type="dxa"/>
            <w:shd w:val="clear" w:color="auto" w:fill="auto"/>
            <w:vAlign w:val="center"/>
          </w:tcPr>
          <w:p w14:paraId="48CA4CD4" w14:textId="77777777" w:rsidR="001A4641" w:rsidRPr="00DA1D6F" w:rsidRDefault="001A4641" w:rsidP="001A4641">
            <w:pPr>
              <w:spacing w:before="40" w:after="4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Justificativas que motivem/demonstrem:</w:t>
            </w:r>
          </w:p>
          <w:p w14:paraId="13F23FF4" w14:textId="77777777" w:rsidR="001A4641" w:rsidRPr="00DA1D6F" w:rsidRDefault="001A4641" w:rsidP="001A4641">
            <w:pPr>
              <w:pStyle w:val="PargrafodaLista"/>
              <w:numPr>
                <w:ilvl w:val="0"/>
                <w:numId w:val="28"/>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contratação e a adoção do RDC;</w:t>
            </w:r>
          </w:p>
          <w:p w14:paraId="4F8C2C70" w14:textId="77777777" w:rsidR="001A4641" w:rsidRPr="00DA1D6F" w:rsidRDefault="001A4641" w:rsidP="001A4641">
            <w:pPr>
              <w:pStyle w:val="PargrafodaLista"/>
              <w:numPr>
                <w:ilvl w:val="0"/>
                <w:numId w:val="28"/>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adoção do regime de empreitada por preço unitário ou contratação por tarefa, se for o caso;</w:t>
            </w:r>
          </w:p>
          <w:p w14:paraId="328AFC47" w14:textId="7712EDA6" w:rsidR="001A4641" w:rsidRPr="00DA1D6F" w:rsidRDefault="001A4641" w:rsidP="001A4641">
            <w:pPr>
              <w:pStyle w:val="PargrafodaLista"/>
              <w:numPr>
                <w:ilvl w:val="0"/>
                <w:numId w:val="28"/>
              </w:numPr>
              <w:spacing w:before="40" w:after="40" w:line="240" w:lineRule="auto"/>
              <w:ind w:left="218" w:hanging="218"/>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existência de inovação tecnológica ou técnica, possibilidade de execução com diferentes metodologias, ou possibilidade de execução com tecnologias de domínio restrito no mercado, no caso de adoção de con</w:t>
            </w:r>
            <w:r w:rsidR="007D63B3" w:rsidRPr="00DA1D6F">
              <w:rPr>
                <w:rFonts w:ascii="Arial" w:eastAsia="Times New Roman" w:hAnsi="Arial" w:cs="Arial"/>
                <w:sz w:val="16"/>
                <w:szCs w:val="16"/>
                <w:lang w:eastAsia="pt-BR"/>
              </w:rPr>
              <w:t>tratação integrada.</w:t>
            </w:r>
          </w:p>
        </w:tc>
        <w:tc>
          <w:tcPr>
            <w:tcW w:w="2212" w:type="dxa"/>
            <w:shd w:val="clear" w:color="auto" w:fill="auto"/>
            <w:vAlign w:val="center"/>
          </w:tcPr>
          <w:p w14:paraId="1EA9C7AB"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8º, §1º e §2;</w:t>
            </w:r>
          </w:p>
          <w:p w14:paraId="725DAD94"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Lei Federal nº 12.462/2011, art. 9º, incisos I, II e III. </w:t>
            </w:r>
          </w:p>
          <w:p w14:paraId="0ED90B64"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9º, § 2° e 3º</w:t>
            </w:r>
          </w:p>
          <w:p w14:paraId="18FCF9E6" w14:textId="3796C249"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Decreto Federal nº 7.581/2011, art. 4º, I.</w:t>
            </w:r>
          </w:p>
        </w:tc>
        <w:tc>
          <w:tcPr>
            <w:tcW w:w="2099" w:type="dxa"/>
            <w:shd w:val="clear" w:color="auto" w:fill="auto"/>
            <w:vAlign w:val="center"/>
          </w:tcPr>
          <w:p w14:paraId="3C0BB8AF" w14:textId="2DA844E2"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CPL]</w:t>
            </w:r>
          </w:p>
        </w:tc>
        <w:tc>
          <w:tcPr>
            <w:tcW w:w="2063" w:type="dxa"/>
            <w:shd w:val="clear" w:color="auto" w:fill="auto"/>
            <w:vAlign w:val="center"/>
          </w:tcPr>
          <w:p w14:paraId="2B676E31" w14:textId="77777777"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Justificativa que motive a contratação e a adoção do RDC; e</w:t>
            </w:r>
          </w:p>
          <w:p w14:paraId="28B8DA08" w14:textId="39FB0A58"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Justificativa cabível ao regime adotado.</w:t>
            </w:r>
          </w:p>
        </w:tc>
        <w:tc>
          <w:tcPr>
            <w:tcW w:w="1489" w:type="dxa"/>
            <w:shd w:val="clear" w:color="auto" w:fill="auto"/>
            <w:vAlign w:val="center"/>
          </w:tcPr>
          <w:p w14:paraId="5691312F"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1B18AE78"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74505622" w14:textId="77777777" w:rsidTr="006E2555">
        <w:trPr>
          <w:trHeight w:val="567"/>
        </w:trPr>
        <w:tc>
          <w:tcPr>
            <w:tcW w:w="557" w:type="dxa"/>
            <w:shd w:val="clear" w:color="auto" w:fill="auto"/>
            <w:vAlign w:val="center"/>
            <w:hideMark/>
          </w:tcPr>
          <w:p w14:paraId="6E16B0A1" w14:textId="21C36666"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20</w:t>
            </w:r>
          </w:p>
        </w:tc>
        <w:tc>
          <w:tcPr>
            <w:tcW w:w="4122" w:type="dxa"/>
            <w:shd w:val="clear" w:color="auto" w:fill="auto"/>
            <w:vAlign w:val="center"/>
            <w:hideMark/>
          </w:tcPr>
          <w:p w14:paraId="77830B5E" w14:textId="77777777" w:rsidR="001A4641" w:rsidRPr="00DA1D6F" w:rsidRDefault="001A4641" w:rsidP="001A4641">
            <w:pPr>
              <w:spacing w:after="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Minuta de edital, respectivos anexos, termo de referência e minuta de contrato, cronograma de execução com as etapas necessárias à medição, ao monitoramento e ao controle das obras (a última versão </w:t>
            </w:r>
            <w:r w:rsidRPr="00DA1D6F">
              <w:rPr>
                <w:rFonts w:ascii="Arial" w:eastAsia="Times New Roman" w:hAnsi="Arial" w:cs="Arial"/>
                <w:sz w:val="16"/>
                <w:szCs w:val="16"/>
                <w:lang w:eastAsia="pt-BR"/>
              </w:rPr>
              <w:lastRenderedPageBreak/>
              <w:t>do projeto deve estar em conformidade com todas as alterações realizadas no curso da instrução processual).</w:t>
            </w:r>
          </w:p>
        </w:tc>
        <w:tc>
          <w:tcPr>
            <w:tcW w:w="2212" w:type="dxa"/>
            <w:shd w:val="clear" w:color="auto" w:fill="auto"/>
            <w:vAlign w:val="center"/>
            <w:hideMark/>
          </w:tcPr>
          <w:p w14:paraId="0F2F405C" w14:textId="5078E339"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Lei Federal nº 12.462/2011, art. 5º;</w:t>
            </w:r>
          </w:p>
          <w:p w14:paraId="79581127" w14:textId="6F38248C"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Decreto Federal nº 7.581/2011, art. 4º, VII, X, XI.</w:t>
            </w:r>
          </w:p>
        </w:tc>
        <w:tc>
          <w:tcPr>
            <w:tcW w:w="2099" w:type="dxa"/>
            <w:shd w:val="clear" w:color="auto" w:fill="auto"/>
            <w:vAlign w:val="center"/>
            <w:hideMark/>
          </w:tcPr>
          <w:p w14:paraId="4296F6AF" w14:textId="77777777"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lastRenderedPageBreak/>
              <w:t>[A ser indicado pela entidade, ex.: Assessoria jurídica]</w:t>
            </w:r>
          </w:p>
        </w:tc>
        <w:tc>
          <w:tcPr>
            <w:tcW w:w="2063" w:type="dxa"/>
            <w:shd w:val="clear" w:color="auto" w:fill="auto"/>
            <w:vAlign w:val="center"/>
            <w:hideMark/>
          </w:tcPr>
          <w:p w14:paraId="3482789B" w14:textId="12C66FDE"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Minuta de edital e anexos.</w:t>
            </w:r>
          </w:p>
        </w:tc>
        <w:tc>
          <w:tcPr>
            <w:tcW w:w="1489" w:type="dxa"/>
            <w:shd w:val="clear" w:color="auto" w:fill="auto"/>
            <w:vAlign w:val="center"/>
            <w:hideMark/>
          </w:tcPr>
          <w:p w14:paraId="0C59B4C5" w14:textId="77777777" w:rsidR="001A4641" w:rsidRPr="00DA1D6F" w:rsidRDefault="001A4641" w:rsidP="001A4641">
            <w:pPr>
              <w:spacing w:after="0" w:line="240" w:lineRule="auto"/>
              <w:jc w:val="center"/>
              <w:rPr>
                <w:rFonts w:ascii="Arial" w:eastAsia="Times New Roman" w:hAnsi="Arial" w:cs="Arial"/>
                <w:sz w:val="16"/>
                <w:szCs w:val="16"/>
                <w:lang w:eastAsia="pt-BR"/>
              </w:rPr>
            </w:pPr>
            <w:r w:rsidRPr="00DA1D6F">
              <w:rPr>
                <w:rFonts w:ascii="Arial" w:eastAsia="Times New Roman" w:hAnsi="Arial" w:cs="Arial"/>
                <w:sz w:val="16"/>
                <w:szCs w:val="16"/>
                <w:lang w:eastAsia="pt-BR"/>
              </w:rPr>
              <w:t> </w:t>
            </w:r>
          </w:p>
        </w:tc>
        <w:tc>
          <w:tcPr>
            <w:tcW w:w="1592" w:type="dxa"/>
            <w:shd w:val="clear" w:color="auto" w:fill="auto"/>
            <w:vAlign w:val="center"/>
            <w:hideMark/>
          </w:tcPr>
          <w:p w14:paraId="6878909A" w14:textId="77777777" w:rsidR="001A4641" w:rsidRPr="00DA1D6F" w:rsidRDefault="001A4641" w:rsidP="001A4641">
            <w:pPr>
              <w:spacing w:after="0" w:line="240" w:lineRule="auto"/>
              <w:jc w:val="center"/>
              <w:rPr>
                <w:rFonts w:ascii="Arial" w:eastAsia="Times New Roman" w:hAnsi="Arial" w:cs="Arial"/>
                <w:sz w:val="16"/>
                <w:szCs w:val="16"/>
                <w:lang w:eastAsia="pt-BR"/>
              </w:rPr>
            </w:pPr>
            <w:r w:rsidRPr="00DA1D6F">
              <w:rPr>
                <w:rFonts w:ascii="Arial" w:eastAsia="Times New Roman" w:hAnsi="Arial" w:cs="Arial"/>
                <w:sz w:val="16"/>
                <w:szCs w:val="16"/>
                <w:lang w:eastAsia="pt-BR"/>
              </w:rPr>
              <w:t> </w:t>
            </w:r>
          </w:p>
        </w:tc>
      </w:tr>
      <w:tr w:rsidR="001A4641" w:rsidRPr="00DA1D6F" w14:paraId="54C6F06A" w14:textId="77777777" w:rsidTr="006E2555">
        <w:trPr>
          <w:trHeight w:val="567"/>
        </w:trPr>
        <w:tc>
          <w:tcPr>
            <w:tcW w:w="557" w:type="dxa"/>
            <w:shd w:val="clear" w:color="auto" w:fill="auto"/>
            <w:vAlign w:val="center"/>
          </w:tcPr>
          <w:p w14:paraId="1930BB14" w14:textId="64F19CC1"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21</w:t>
            </w:r>
          </w:p>
        </w:tc>
        <w:tc>
          <w:tcPr>
            <w:tcW w:w="4122" w:type="dxa"/>
            <w:shd w:val="clear" w:color="auto" w:fill="auto"/>
            <w:vAlign w:val="center"/>
          </w:tcPr>
          <w:p w14:paraId="7D85B991" w14:textId="5C67BEDF" w:rsidR="001A4641" w:rsidRPr="00DA1D6F" w:rsidRDefault="001A4641" w:rsidP="001A4641">
            <w:pPr>
              <w:spacing w:after="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Estimativa do impacto orçamentário-financeiro nos casos de expansão ou aperfeiçoamento de ação governamental que acarrete aumento da despesa, sempre que não prevista na Lei Orçamentária.</w:t>
            </w:r>
          </w:p>
        </w:tc>
        <w:tc>
          <w:tcPr>
            <w:tcW w:w="2212" w:type="dxa"/>
            <w:shd w:val="clear" w:color="auto" w:fill="auto"/>
            <w:vAlign w:val="center"/>
          </w:tcPr>
          <w:p w14:paraId="1312520C"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Lei Complementar nº 101, art. 16, II; </w:t>
            </w:r>
          </w:p>
          <w:p w14:paraId="40E25274"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Acórdão TCU 883/2005, Primeira Câmara;</w:t>
            </w:r>
          </w:p>
          <w:p w14:paraId="0E2CDE93" w14:textId="4581F98B"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Manual de Demonstrativos Fiscais, STN, 9ª.</w:t>
            </w:r>
          </w:p>
        </w:tc>
        <w:tc>
          <w:tcPr>
            <w:tcW w:w="2099" w:type="dxa"/>
            <w:shd w:val="clear" w:color="auto" w:fill="auto"/>
            <w:vAlign w:val="center"/>
          </w:tcPr>
          <w:p w14:paraId="6A635A48" w14:textId="264F1553"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Setor demandante]</w:t>
            </w:r>
          </w:p>
        </w:tc>
        <w:tc>
          <w:tcPr>
            <w:tcW w:w="2063" w:type="dxa"/>
            <w:shd w:val="clear" w:color="auto" w:fill="auto"/>
            <w:vAlign w:val="center"/>
          </w:tcPr>
          <w:p w14:paraId="008B74CC" w14:textId="42F1E419"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Cálculo do impacto orçamentário-financeiro no exercício em que deva entrar em vigor e nos dois subsequentes.</w:t>
            </w:r>
          </w:p>
        </w:tc>
        <w:tc>
          <w:tcPr>
            <w:tcW w:w="1489" w:type="dxa"/>
            <w:shd w:val="clear" w:color="auto" w:fill="auto"/>
            <w:vAlign w:val="center"/>
          </w:tcPr>
          <w:p w14:paraId="010C5429"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51055627"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200259CD" w14:textId="77777777" w:rsidTr="006E2555">
        <w:trPr>
          <w:trHeight w:val="567"/>
        </w:trPr>
        <w:tc>
          <w:tcPr>
            <w:tcW w:w="557" w:type="dxa"/>
            <w:shd w:val="clear" w:color="auto" w:fill="auto"/>
            <w:vAlign w:val="center"/>
          </w:tcPr>
          <w:p w14:paraId="6EB13771" w14:textId="35E2C9F0"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22</w:t>
            </w:r>
          </w:p>
        </w:tc>
        <w:tc>
          <w:tcPr>
            <w:tcW w:w="4122" w:type="dxa"/>
            <w:shd w:val="clear" w:color="auto" w:fill="auto"/>
            <w:vAlign w:val="center"/>
          </w:tcPr>
          <w:p w14:paraId="1FA8D87F" w14:textId="38223D90" w:rsidR="001A4641" w:rsidRPr="00DA1D6F" w:rsidRDefault="001A4641" w:rsidP="001A4641">
            <w:pPr>
              <w:spacing w:after="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Indicação da fonte de recursos suficientes para a contratação.</w:t>
            </w:r>
          </w:p>
        </w:tc>
        <w:tc>
          <w:tcPr>
            <w:tcW w:w="2212" w:type="dxa"/>
            <w:shd w:val="clear" w:color="auto" w:fill="auto"/>
            <w:vAlign w:val="center"/>
          </w:tcPr>
          <w:p w14:paraId="14A07CDB" w14:textId="77777777"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39 e 42 c/c/ Lei Federal 8.666/93, art.57;</w:t>
            </w:r>
          </w:p>
          <w:p w14:paraId="2B865016" w14:textId="6BE2923B"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Decreto Federal nº 7.581/2011, art.2º, V.</w:t>
            </w:r>
          </w:p>
        </w:tc>
        <w:tc>
          <w:tcPr>
            <w:tcW w:w="2099" w:type="dxa"/>
            <w:shd w:val="clear" w:color="auto" w:fill="auto"/>
            <w:vAlign w:val="center"/>
          </w:tcPr>
          <w:p w14:paraId="5ABB2E90" w14:textId="6E10D5DF"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GPO]</w:t>
            </w:r>
          </w:p>
        </w:tc>
        <w:tc>
          <w:tcPr>
            <w:tcW w:w="2063" w:type="dxa"/>
            <w:shd w:val="clear" w:color="auto" w:fill="auto"/>
            <w:vAlign w:val="center"/>
          </w:tcPr>
          <w:p w14:paraId="59F62A98" w14:textId="16E9B058"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Dotação orçamentária pela qual correrá a despesa.</w:t>
            </w:r>
          </w:p>
        </w:tc>
        <w:tc>
          <w:tcPr>
            <w:tcW w:w="1489" w:type="dxa"/>
            <w:shd w:val="clear" w:color="auto" w:fill="auto"/>
            <w:vAlign w:val="center"/>
          </w:tcPr>
          <w:p w14:paraId="53CCF2B8"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78884D17"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32C6D302" w14:textId="77777777" w:rsidTr="006E2555">
        <w:trPr>
          <w:trHeight w:val="567"/>
        </w:trPr>
        <w:tc>
          <w:tcPr>
            <w:tcW w:w="557" w:type="dxa"/>
            <w:shd w:val="clear" w:color="auto" w:fill="auto"/>
            <w:vAlign w:val="center"/>
          </w:tcPr>
          <w:p w14:paraId="25326BD5" w14:textId="7593A8A8"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23</w:t>
            </w:r>
          </w:p>
        </w:tc>
        <w:tc>
          <w:tcPr>
            <w:tcW w:w="4122" w:type="dxa"/>
            <w:shd w:val="clear" w:color="auto" w:fill="auto"/>
            <w:vAlign w:val="center"/>
          </w:tcPr>
          <w:p w14:paraId="1A5F85CD" w14:textId="72DC0931" w:rsidR="001A4641" w:rsidRPr="00DA1D6F" w:rsidRDefault="001A4641" w:rsidP="001A4641">
            <w:pPr>
              <w:spacing w:after="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Declaração do ordenador de despesas de que a despesa tem adequação orçamentária e financeira com a lei orçamentária anual e compatibilidade com o plano plurianual e com a lei de diretrizes orçamentárias.</w:t>
            </w:r>
          </w:p>
        </w:tc>
        <w:tc>
          <w:tcPr>
            <w:tcW w:w="2212" w:type="dxa"/>
            <w:shd w:val="clear" w:color="auto" w:fill="auto"/>
            <w:vAlign w:val="center"/>
          </w:tcPr>
          <w:p w14:paraId="5D9CBE85" w14:textId="7E5980FA"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nº 101/2000, art.16, inc. II.</w:t>
            </w:r>
          </w:p>
        </w:tc>
        <w:tc>
          <w:tcPr>
            <w:tcW w:w="2099" w:type="dxa"/>
            <w:shd w:val="clear" w:color="auto" w:fill="auto"/>
            <w:vAlign w:val="center"/>
          </w:tcPr>
          <w:p w14:paraId="6145E53B" w14:textId="4AB5F17A"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ordenador de despesa]</w:t>
            </w:r>
          </w:p>
        </w:tc>
        <w:tc>
          <w:tcPr>
            <w:tcW w:w="2063" w:type="dxa"/>
            <w:shd w:val="clear" w:color="auto" w:fill="auto"/>
            <w:vAlign w:val="center"/>
          </w:tcPr>
          <w:p w14:paraId="5177FE5F" w14:textId="40FDBC7F"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Declaração do Ordenador de Despesas.</w:t>
            </w:r>
          </w:p>
        </w:tc>
        <w:tc>
          <w:tcPr>
            <w:tcW w:w="1489" w:type="dxa"/>
            <w:shd w:val="clear" w:color="auto" w:fill="auto"/>
            <w:vAlign w:val="center"/>
          </w:tcPr>
          <w:p w14:paraId="0366589C"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086200D6"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2DC8A5D2" w14:textId="77777777" w:rsidTr="006E2555">
        <w:trPr>
          <w:trHeight w:val="567"/>
        </w:trPr>
        <w:tc>
          <w:tcPr>
            <w:tcW w:w="557" w:type="dxa"/>
            <w:shd w:val="clear" w:color="auto" w:fill="auto"/>
            <w:vAlign w:val="center"/>
          </w:tcPr>
          <w:p w14:paraId="0FC3A9D4" w14:textId="73337248"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24</w:t>
            </w:r>
          </w:p>
        </w:tc>
        <w:tc>
          <w:tcPr>
            <w:tcW w:w="4122" w:type="dxa"/>
            <w:shd w:val="clear" w:color="auto" w:fill="auto"/>
            <w:vAlign w:val="center"/>
          </w:tcPr>
          <w:p w14:paraId="6056E6B5" w14:textId="5E509BAD" w:rsidR="001A4641" w:rsidRPr="00DA1D6F" w:rsidRDefault="001A4641" w:rsidP="001A4641">
            <w:pPr>
              <w:spacing w:after="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Autorização para deflagração do certame pela autoridade competente.</w:t>
            </w:r>
          </w:p>
        </w:tc>
        <w:tc>
          <w:tcPr>
            <w:tcW w:w="2212" w:type="dxa"/>
            <w:shd w:val="clear" w:color="auto" w:fill="auto"/>
            <w:vAlign w:val="center"/>
          </w:tcPr>
          <w:p w14:paraId="00DD8C8B" w14:textId="55711516"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Norma de Procedimento SCL nº 004.</w:t>
            </w:r>
          </w:p>
        </w:tc>
        <w:tc>
          <w:tcPr>
            <w:tcW w:w="2099" w:type="dxa"/>
            <w:shd w:val="clear" w:color="auto" w:fill="auto"/>
            <w:vAlign w:val="center"/>
          </w:tcPr>
          <w:p w14:paraId="4E655B5B" w14:textId="6E42D3A4"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ordenador de despesa]</w:t>
            </w:r>
          </w:p>
        </w:tc>
        <w:tc>
          <w:tcPr>
            <w:tcW w:w="2063" w:type="dxa"/>
            <w:shd w:val="clear" w:color="auto" w:fill="auto"/>
            <w:vAlign w:val="center"/>
          </w:tcPr>
          <w:p w14:paraId="216E8801" w14:textId="14BE34F0"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Despacho de autorização.</w:t>
            </w:r>
          </w:p>
        </w:tc>
        <w:tc>
          <w:tcPr>
            <w:tcW w:w="1489" w:type="dxa"/>
            <w:shd w:val="clear" w:color="auto" w:fill="auto"/>
            <w:vAlign w:val="center"/>
          </w:tcPr>
          <w:p w14:paraId="28645A6B"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c>
          <w:tcPr>
            <w:tcW w:w="1592" w:type="dxa"/>
            <w:shd w:val="clear" w:color="auto" w:fill="auto"/>
            <w:vAlign w:val="center"/>
          </w:tcPr>
          <w:p w14:paraId="2CED7C5C" w14:textId="77777777" w:rsidR="001A4641" w:rsidRPr="00DA1D6F" w:rsidRDefault="001A4641" w:rsidP="001A4641">
            <w:pPr>
              <w:spacing w:after="0" w:line="240" w:lineRule="auto"/>
              <w:jc w:val="center"/>
              <w:rPr>
                <w:rFonts w:ascii="Arial" w:eastAsia="Times New Roman" w:hAnsi="Arial" w:cs="Arial"/>
                <w:sz w:val="16"/>
                <w:szCs w:val="16"/>
                <w:lang w:eastAsia="pt-BR"/>
              </w:rPr>
            </w:pPr>
          </w:p>
        </w:tc>
      </w:tr>
      <w:tr w:rsidR="001A4641" w:rsidRPr="00DA1D6F" w14:paraId="227AC565" w14:textId="77777777" w:rsidTr="006E2555">
        <w:trPr>
          <w:trHeight w:val="567"/>
        </w:trPr>
        <w:tc>
          <w:tcPr>
            <w:tcW w:w="557" w:type="dxa"/>
            <w:shd w:val="clear" w:color="auto" w:fill="auto"/>
            <w:vAlign w:val="center"/>
            <w:hideMark/>
          </w:tcPr>
          <w:p w14:paraId="2D8C0AF5" w14:textId="57F7CB21" w:rsidR="001A4641" w:rsidRPr="00DA1D6F" w:rsidRDefault="001A4641" w:rsidP="001A4641">
            <w:pPr>
              <w:spacing w:after="0" w:line="240" w:lineRule="auto"/>
              <w:jc w:val="center"/>
              <w:rPr>
                <w:rFonts w:ascii="Arial" w:eastAsia="Times New Roman" w:hAnsi="Arial" w:cs="Arial"/>
                <w:b/>
                <w:bCs/>
                <w:sz w:val="16"/>
                <w:szCs w:val="16"/>
                <w:lang w:eastAsia="pt-BR"/>
              </w:rPr>
            </w:pPr>
            <w:r w:rsidRPr="00DA1D6F">
              <w:rPr>
                <w:rFonts w:ascii="Arial" w:eastAsia="Times New Roman" w:hAnsi="Arial" w:cs="Arial"/>
                <w:b/>
                <w:bCs/>
                <w:sz w:val="16"/>
                <w:szCs w:val="16"/>
                <w:lang w:eastAsia="pt-BR"/>
              </w:rPr>
              <w:t>25</w:t>
            </w:r>
          </w:p>
        </w:tc>
        <w:tc>
          <w:tcPr>
            <w:tcW w:w="4122" w:type="dxa"/>
            <w:shd w:val="clear" w:color="auto" w:fill="auto"/>
            <w:vAlign w:val="center"/>
            <w:hideMark/>
          </w:tcPr>
          <w:p w14:paraId="708D2295" w14:textId="77777777" w:rsidR="001A4641" w:rsidRPr="00DA1D6F" w:rsidRDefault="001A4641" w:rsidP="001A4641">
            <w:pPr>
              <w:spacing w:after="0" w:line="240" w:lineRule="auto"/>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Parecer da PGE quanto aos aspectos jurídicos da contratação ou Certificado emitido pelo pregoeiro/presidente atestando que a minuta de edital é padrão e foi retirada no site da PGE (deve indicar a hora e o dia).</w:t>
            </w:r>
          </w:p>
        </w:tc>
        <w:tc>
          <w:tcPr>
            <w:tcW w:w="2212" w:type="dxa"/>
            <w:shd w:val="clear" w:color="auto" w:fill="auto"/>
            <w:vAlign w:val="center"/>
            <w:hideMark/>
          </w:tcPr>
          <w:p w14:paraId="77952DC6" w14:textId="0DDCDAE3"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Lei Federal nº 12.462/2011, art. 4º, II;</w:t>
            </w:r>
          </w:p>
          <w:p w14:paraId="3109FAA5" w14:textId="5F422831"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 xml:space="preserve">Decreto Federal nº 7.581/2011, art. 7º, I; </w:t>
            </w:r>
          </w:p>
          <w:p w14:paraId="71749634" w14:textId="5D1D1D3C" w:rsidR="001A4641" w:rsidRPr="00DA1D6F" w:rsidRDefault="001A4641" w:rsidP="001A4641">
            <w:pPr>
              <w:pStyle w:val="PargrafodaLista"/>
              <w:numPr>
                <w:ilvl w:val="0"/>
                <w:numId w:val="13"/>
              </w:numPr>
              <w:spacing w:before="40" w:after="40" w:line="240" w:lineRule="auto"/>
              <w:ind w:left="73" w:hanging="113"/>
              <w:contextualSpacing w:val="0"/>
              <w:rPr>
                <w:rFonts w:ascii="Arial" w:eastAsia="Times New Roman" w:hAnsi="Arial" w:cs="Arial"/>
                <w:sz w:val="16"/>
                <w:szCs w:val="16"/>
                <w:lang w:eastAsia="pt-BR"/>
              </w:rPr>
            </w:pPr>
            <w:r w:rsidRPr="00DA1D6F">
              <w:rPr>
                <w:rFonts w:ascii="Arial" w:eastAsia="Times New Roman" w:hAnsi="Arial" w:cs="Arial"/>
                <w:sz w:val="16"/>
                <w:szCs w:val="16"/>
                <w:lang w:eastAsia="pt-BR"/>
              </w:rPr>
              <w:t>Enunciado CPGE nº 12.</w:t>
            </w:r>
          </w:p>
        </w:tc>
        <w:tc>
          <w:tcPr>
            <w:tcW w:w="2099" w:type="dxa"/>
            <w:shd w:val="clear" w:color="auto" w:fill="auto"/>
            <w:vAlign w:val="center"/>
            <w:hideMark/>
          </w:tcPr>
          <w:p w14:paraId="20B32E45" w14:textId="77777777" w:rsidR="001A4641" w:rsidRPr="00DA1D6F" w:rsidRDefault="001A4641" w:rsidP="003D46C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[A ser indicado pela entidade, ex.: PGE/CPL]</w:t>
            </w:r>
          </w:p>
        </w:tc>
        <w:tc>
          <w:tcPr>
            <w:tcW w:w="2063" w:type="dxa"/>
            <w:shd w:val="clear" w:color="auto" w:fill="auto"/>
            <w:vAlign w:val="center"/>
            <w:hideMark/>
          </w:tcPr>
          <w:p w14:paraId="1502DDC4" w14:textId="5DDC35C4" w:rsidR="001A4641" w:rsidRPr="00DA1D6F" w:rsidRDefault="001A4641" w:rsidP="00EF741C">
            <w:pPr>
              <w:pStyle w:val="PargrafodaLista"/>
              <w:numPr>
                <w:ilvl w:val="0"/>
                <w:numId w:val="13"/>
              </w:numPr>
              <w:spacing w:before="40" w:after="40" w:line="240" w:lineRule="auto"/>
              <w:ind w:left="73" w:hanging="113"/>
              <w:contextualSpacing w:val="0"/>
              <w:jc w:val="both"/>
              <w:rPr>
                <w:rFonts w:ascii="Arial" w:eastAsia="Times New Roman" w:hAnsi="Arial" w:cs="Arial"/>
                <w:sz w:val="16"/>
                <w:szCs w:val="16"/>
                <w:lang w:eastAsia="pt-BR"/>
              </w:rPr>
            </w:pPr>
            <w:r w:rsidRPr="00DA1D6F">
              <w:rPr>
                <w:rFonts w:ascii="Arial" w:eastAsia="Times New Roman" w:hAnsi="Arial" w:cs="Arial"/>
                <w:sz w:val="16"/>
                <w:szCs w:val="16"/>
                <w:lang w:eastAsia="pt-BR"/>
              </w:rPr>
              <w:t>Parecer ou declaração emitido.</w:t>
            </w:r>
          </w:p>
        </w:tc>
        <w:tc>
          <w:tcPr>
            <w:tcW w:w="1489" w:type="dxa"/>
            <w:shd w:val="clear" w:color="auto" w:fill="auto"/>
            <w:vAlign w:val="center"/>
            <w:hideMark/>
          </w:tcPr>
          <w:p w14:paraId="2A0273BC" w14:textId="77777777" w:rsidR="001A4641" w:rsidRPr="00DA1D6F" w:rsidRDefault="001A4641" w:rsidP="001A4641">
            <w:pPr>
              <w:spacing w:after="0" w:line="240" w:lineRule="auto"/>
              <w:jc w:val="center"/>
              <w:rPr>
                <w:rFonts w:ascii="Arial" w:eastAsia="Times New Roman" w:hAnsi="Arial" w:cs="Arial"/>
                <w:sz w:val="16"/>
                <w:szCs w:val="16"/>
                <w:lang w:eastAsia="pt-BR"/>
              </w:rPr>
            </w:pPr>
            <w:r w:rsidRPr="00DA1D6F">
              <w:rPr>
                <w:rFonts w:ascii="Arial" w:eastAsia="Times New Roman" w:hAnsi="Arial" w:cs="Arial"/>
                <w:sz w:val="16"/>
                <w:szCs w:val="16"/>
                <w:lang w:eastAsia="pt-BR"/>
              </w:rPr>
              <w:t> </w:t>
            </w:r>
          </w:p>
        </w:tc>
        <w:tc>
          <w:tcPr>
            <w:tcW w:w="1592" w:type="dxa"/>
            <w:shd w:val="clear" w:color="auto" w:fill="auto"/>
            <w:vAlign w:val="center"/>
            <w:hideMark/>
          </w:tcPr>
          <w:p w14:paraId="3B1EAA5F" w14:textId="77777777" w:rsidR="001A4641" w:rsidRPr="00DA1D6F" w:rsidRDefault="001A4641" w:rsidP="001A4641">
            <w:pPr>
              <w:spacing w:after="0" w:line="240" w:lineRule="auto"/>
              <w:jc w:val="center"/>
              <w:rPr>
                <w:rFonts w:ascii="Arial" w:eastAsia="Times New Roman" w:hAnsi="Arial" w:cs="Arial"/>
                <w:sz w:val="16"/>
                <w:szCs w:val="16"/>
                <w:lang w:eastAsia="pt-BR"/>
              </w:rPr>
            </w:pPr>
            <w:r w:rsidRPr="00DA1D6F">
              <w:rPr>
                <w:rFonts w:ascii="Arial" w:eastAsia="Times New Roman" w:hAnsi="Arial" w:cs="Arial"/>
                <w:sz w:val="16"/>
                <w:szCs w:val="16"/>
                <w:lang w:eastAsia="pt-BR"/>
              </w:rPr>
              <w:t> </w:t>
            </w:r>
          </w:p>
        </w:tc>
      </w:tr>
    </w:tbl>
    <w:p w14:paraId="736E7759" w14:textId="104367E6" w:rsidR="00B971AE" w:rsidRPr="00DA1D6F" w:rsidRDefault="00B971AE" w:rsidP="003A5B80">
      <w:pPr>
        <w:rPr>
          <w:rFonts w:ascii="Arial" w:eastAsia="Arial" w:hAnsi="Arial" w:cs="Arial"/>
          <w:bCs/>
          <w:sz w:val="20"/>
          <w:szCs w:val="20"/>
          <w:lang w:eastAsia="pt-BR"/>
        </w:rPr>
      </w:pPr>
    </w:p>
    <w:sectPr w:rsidR="00B971AE" w:rsidRPr="00DA1D6F" w:rsidSect="00E42D58">
      <w:headerReference w:type="default" r:id="rId8"/>
      <w:pgSz w:w="16838" w:h="11906" w:orient="landscape"/>
      <w:pgMar w:top="1701" w:right="1276"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58BCB" w14:textId="77777777" w:rsidR="00923085" w:rsidRDefault="00923085" w:rsidP="00AF2BB1">
      <w:pPr>
        <w:spacing w:after="0" w:line="240" w:lineRule="auto"/>
      </w:pPr>
      <w:r>
        <w:separator/>
      </w:r>
    </w:p>
  </w:endnote>
  <w:endnote w:type="continuationSeparator" w:id="0">
    <w:p w14:paraId="71FB57E2" w14:textId="77777777" w:rsidR="00923085" w:rsidRDefault="00923085" w:rsidP="00AF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6D8CF" w14:textId="77777777" w:rsidR="00923085" w:rsidRDefault="00923085" w:rsidP="00AF2BB1">
      <w:pPr>
        <w:spacing w:after="0" w:line="240" w:lineRule="auto"/>
      </w:pPr>
      <w:r>
        <w:separator/>
      </w:r>
    </w:p>
  </w:footnote>
  <w:footnote w:type="continuationSeparator" w:id="0">
    <w:p w14:paraId="68AAF9CF" w14:textId="77777777" w:rsidR="00923085" w:rsidRDefault="00923085" w:rsidP="00AF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B6299" w14:textId="4B2C59E3" w:rsidR="00923085" w:rsidRDefault="00923085">
    <w:pPr>
      <w:pStyle w:val="Cabealho"/>
    </w:pPr>
    <w:r>
      <w:rPr>
        <w:noProof/>
        <w:lang w:eastAsia="pt-BR"/>
      </w:rPr>
      <w:drawing>
        <wp:inline distT="0" distB="0" distL="0" distR="0" wp14:anchorId="0707FD0F" wp14:editId="20D1C5B6">
          <wp:extent cx="1932167" cy="669233"/>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318" cy="672403"/>
                  </a:xfrm>
                  <a:prstGeom prst="rect">
                    <a:avLst/>
                  </a:prstGeom>
                  <a:noFill/>
                </pic:spPr>
              </pic:pic>
            </a:graphicData>
          </a:graphic>
        </wp:inline>
      </w:drawing>
    </w:r>
  </w:p>
  <w:p w14:paraId="7F81449C" w14:textId="77777777" w:rsidR="00923085" w:rsidRDefault="009230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2F05"/>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26F79"/>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98747D"/>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B0EB4"/>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440F28"/>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81968"/>
    <w:multiLevelType w:val="hybridMultilevel"/>
    <w:tmpl w:val="158E4142"/>
    <w:lvl w:ilvl="0" w:tplc="468AA38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E213D93"/>
    <w:multiLevelType w:val="hybridMultilevel"/>
    <w:tmpl w:val="5890FAA4"/>
    <w:lvl w:ilvl="0" w:tplc="468AA38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EA7BDF"/>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BE6402"/>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2D446D"/>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9B5F24"/>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BC62BB"/>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F440A4"/>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7C17B9"/>
    <w:multiLevelType w:val="hybridMultilevel"/>
    <w:tmpl w:val="25B862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010E4F"/>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850D4B"/>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794F2D"/>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2C7A19"/>
    <w:multiLevelType w:val="hybridMultilevel"/>
    <w:tmpl w:val="C76275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116EDD"/>
    <w:multiLevelType w:val="multilevel"/>
    <w:tmpl w:val="D550E82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A656468"/>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0E5F63"/>
    <w:multiLevelType w:val="hybridMultilevel"/>
    <w:tmpl w:val="049888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085F13"/>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A936ED"/>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C125F3"/>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E30A81"/>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74B58"/>
    <w:multiLevelType w:val="hybridMultilevel"/>
    <w:tmpl w:val="670CC07C"/>
    <w:lvl w:ilvl="0" w:tplc="04160001">
      <w:start w:val="1"/>
      <w:numFmt w:val="bullet"/>
      <w:lvlText w:val=""/>
      <w:lvlJc w:val="left"/>
      <w:pPr>
        <w:ind w:left="1069"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46BA07D6"/>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361B6F"/>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4D1AD5"/>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003C1"/>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632889"/>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7903D3"/>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D767AF"/>
    <w:multiLevelType w:val="hybridMultilevel"/>
    <w:tmpl w:val="843694F8"/>
    <w:lvl w:ilvl="0" w:tplc="04160001">
      <w:start w:val="1"/>
      <w:numFmt w:val="bullet"/>
      <w:lvlText w:val=""/>
      <w:lvlJc w:val="left"/>
      <w:pPr>
        <w:ind w:left="767" w:hanging="360"/>
      </w:pPr>
      <w:rPr>
        <w:rFonts w:ascii="Symbol" w:hAnsi="Symbol" w:hint="default"/>
      </w:rPr>
    </w:lvl>
    <w:lvl w:ilvl="1" w:tplc="04160003">
      <w:start w:val="1"/>
      <w:numFmt w:val="bullet"/>
      <w:lvlText w:val="o"/>
      <w:lvlJc w:val="left"/>
      <w:pPr>
        <w:ind w:left="1487" w:hanging="360"/>
      </w:pPr>
      <w:rPr>
        <w:rFonts w:ascii="Courier New" w:hAnsi="Courier New" w:cs="Courier New" w:hint="default"/>
      </w:rPr>
    </w:lvl>
    <w:lvl w:ilvl="2" w:tplc="04160005">
      <w:start w:val="1"/>
      <w:numFmt w:val="bullet"/>
      <w:lvlText w:val=""/>
      <w:lvlJc w:val="left"/>
      <w:pPr>
        <w:ind w:left="2207" w:hanging="360"/>
      </w:pPr>
      <w:rPr>
        <w:rFonts w:ascii="Wingdings" w:hAnsi="Wingdings" w:hint="default"/>
      </w:rPr>
    </w:lvl>
    <w:lvl w:ilvl="3" w:tplc="04160001">
      <w:start w:val="1"/>
      <w:numFmt w:val="bullet"/>
      <w:lvlText w:val=""/>
      <w:lvlJc w:val="left"/>
      <w:pPr>
        <w:ind w:left="2927" w:hanging="360"/>
      </w:pPr>
      <w:rPr>
        <w:rFonts w:ascii="Symbol" w:hAnsi="Symbol" w:hint="default"/>
      </w:rPr>
    </w:lvl>
    <w:lvl w:ilvl="4" w:tplc="04160003">
      <w:start w:val="1"/>
      <w:numFmt w:val="bullet"/>
      <w:lvlText w:val="o"/>
      <w:lvlJc w:val="left"/>
      <w:pPr>
        <w:ind w:left="3647" w:hanging="360"/>
      </w:pPr>
      <w:rPr>
        <w:rFonts w:ascii="Courier New" w:hAnsi="Courier New" w:cs="Courier New" w:hint="default"/>
      </w:rPr>
    </w:lvl>
    <w:lvl w:ilvl="5" w:tplc="04160005">
      <w:start w:val="1"/>
      <w:numFmt w:val="bullet"/>
      <w:lvlText w:val=""/>
      <w:lvlJc w:val="left"/>
      <w:pPr>
        <w:ind w:left="4367" w:hanging="360"/>
      </w:pPr>
      <w:rPr>
        <w:rFonts w:ascii="Wingdings" w:hAnsi="Wingdings" w:hint="default"/>
      </w:rPr>
    </w:lvl>
    <w:lvl w:ilvl="6" w:tplc="04160001">
      <w:start w:val="1"/>
      <w:numFmt w:val="bullet"/>
      <w:lvlText w:val=""/>
      <w:lvlJc w:val="left"/>
      <w:pPr>
        <w:ind w:left="5087" w:hanging="360"/>
      </w:pPr>
      <w:rPr>
        <w:rFonts w:ascii="Symbol" w:hAnsi="Symbol" w:hint="default"/>
      </w:rPr>
    </w:lvl>
    <w:lvl w:ilvl="7" w:tplc="04160003">
      <w:start w:val="1"/>
      <w:numFmt w:val="bullet"/>
      <w:lvlText w:val="o"/>
      <w:lvlJc w:val="left"/>
      <w:pPr>
        <w:ind w:left="5807" w:hanging="360"/>
      </w:pPr>
      <w:rPr>
        <w:rFonts w:ascii="Courier New" w:hAnsi="Courier New" w:cs="Courier New" w:hint="default"/>
      </w:rPr>
    </w:lvl>
    <w:lvl w:ilvl="8" w:tplc="04160005">
      <w:start w:val="1"/>
      <w:numFmt w:val="bullet"/>
      <w:lvlText w:val=""/>
      <w:lvlJc w:val="left"/>
      <w:pPr>
        <w:ind w:left="6527" w:hanging="360"/>
      </w:pPr>
      <w:rPr>
        <w:rFonts w:ascii="Wingdings" w:hAnsi="Wingdings" w:hint="default"/>
      </w:rPr>
    </w:lvl>
  </w:abstractNum>
  <w:abstractNum w:abstractNumId="33" w15:restartNumberingAfterBreak="0">
    <w:nsid w:val="5CCD6317"/>
    <w:multiLevelType w:val="hybridMultilevel"/>
    <w:tmpl w:val="CDC2007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5D781D81"/>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E39BA"/>
    <w:multiLevelType w:val="hybridMultilevel"/>
    <w:tmpl w:val="CABE4E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983A1A"/>
    <w:multiLevelType w:val="hybridMultilevel"/>
    <w:tmpl w:val="8326BF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19851C6"/>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DD1009"/>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F36B53"/>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9D7C0D"/>
    <w:multiLevelType w:val="hybridMultilevel"/>
    <w:tmpl w:val="876CC2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0FB1207"/>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3246E2"/>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B64E1B"/>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CE443D"/>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2557D5"/>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FB615D"/>
    <w:multiLevelType w:val="hybridMultilevel"/>
    <w:tmpl w:val="EB7A5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F0D7607"/>
    <w:multiLevelType w:val="hybridMultilevel"/>
    <w:tmpl w:val="FAD202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3"/>
  </w:num>
  <w:num w:numId="3">
    <w:abstractNumId w:val="20"/>
  </w:num>
  <w:num w:numId="4">
    <w:abstractNumId w:val="25"/>
  </w:num>
  <w:num w:numId="5">
    <w:abstractNumId w:val="40"/>
  </w:num>
  <w:num w:numId="6">
    <w:abstractNumId w:val="18"/>
  </w:num>
  <w:num w:numId="7">
    <w:abstractNumId w:val="17"/>
  </w:num>
  <w:num w:numId="8">
    <w:abstractNumId w:val="32"/>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6"/>
  </w:num>
  <w:num w:numId="12">
    <w:abstractNumId w:val="5"/>
  </w:num>
  <w:num w:numId="13">
    <w:abstractNumId w:val="46"/>
  </w:num>
  <w:num w:numId="14">
    <w:abstractNumId w:val="6"/>
  </w:num>
  <w:num w:numId="15">
    <w:abstractNumId w:val="42"/>
  </w:num>
  <w:num w:numId="16">
    <w:abstractNumId w:val="35"/>
  </w:num>
  <w:num w:numId="17">
    <w:abstractNumId w:val="29"/>
  </w:num>
  <w:num w:numId="18">
    <w:abstractNumId w:val="28"/>
  </w:num>
  <w:num w:numId="19">
    <w:abstractNumId w:val="27"/>
  </w:num>
  <w:num w:numId="20">
    <w:abstractNumId w:val="16"/>
  </w:num>
  <w:num w:numId="21">
    <w:abstractNumId w:val="38"/>
  </w:num>
  <w:num w:numId="22">
    <w:abstractNumId w:val="34"/>
  </w:num>
  <w:num w:numId="23">
    <w:abstractNumId w:val="41"/>
  </w:num>
  <w:num w:numId="24">
    <w:abstractNumId w:val="21"/>
  </w:num>
  <w:num w:numId="25">
    <w:abstractNumId w:val="8"/>
  </w:num>
  <w:num w:numId="26">
    <w:abstractNumId w:val="44"/>
  </w:num>
  <w:num w:numId="27">
    <w:abstractNumId w:val="1"/>
  </w:num>
  <w:num w:numId="28">
    <w:abstractNumId w:val="9"/>
  </w:num>
  <w:num w:numId="29">
    <w:abstractNumId w:val="23"/>
  </w:num>
  <w:num w:numId="30">
    <w:abstractNumId w:val="43"/>
  </w:num>
  <w:num w:numId="31">
    <w:abstractNumId w:val="31"/>
  </w:num>
  <w:num w:numId="32">
    <w:abstractNumId w:val="39"/>
  </w:num>
  <w:num w:numId="33">
    <w:abstractNumId w:val="15"/>
  </w:num>
  <w:num w:numId="34">
    <w:abstractNumId w:val="11"/>
  </w:num>
  <w:num w:numId="35">
    <w:abstractNumId w:val="7"/>
  </w:num>
  <w:num w:numId="36">
    <w:abstractNumId w:val="0"/>
  </w:num>
  <w:num w:numId="37">
    <w:abstractNumId w:val="12"/>
  </w:num>
  <w:num w:numId="38">
    <w:abstractNumId w:val="26"/>
  </w:num>
  <w:num w:numId="39">
    <w:abstractNumId w:val="3"/>
  </w:num>
  <w:num w:numId="40">
    <w:abstractNumId w:val="10"/>
  </w:num>
  <w:num w:numId="41">
    <w:abstractNumId w:val="24"/>
  </w:num>
  <w:num w:numId="42">
    <w:abstractNumId w:val="19"/>
  </w:num>
  <w:num w:numId="43">
    <w:abstractNumId w:val="47"/>
  </w:num>
  <w:num w:numId="44">
    <w:abstractNumId w:val="22"/>
  </w:num>
  <w:num w:numId="45">
    <w:abstractNumId w:val="30"/>
  </w:num>
  <w:num w:numId="46">
    <w:abstractNumId w:val="37"/>
  </w:num>
  <w:num w:numId="47">
    <w:abstractNumId w:val="45"/>
  </w:num>
  <w:num w:numId="48">
    <w:abstractNumId w:val="14"/>
  </w:num>
  <w:num w:numId="49">
    <w:abstractNumId w:val="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7A"/>
    <w:rsid w:val="00002304"/>
    <w:rsid w:val="000100D4"/>
    <w:rsid w:val="00021622"/>
    <w:rsid w:val="00022EB2"/>
    <w:rsid w:val="000267AA"/>
    <w:rsid w:val="00041F80"/>
    <w:rsid w:val="00043D8D"/>
    <w:rsid w:val="00050981"/>
    <w:rsid w:val="000579AB"/>
    <w:rsid w:val="0006607A"/>
    <w:rsid w:val="00066F19"/>
    <w:rsid w:val="00070692"/>
    <w:rsid w:val="00070808"/>
    <w:rsid w:val="0007699D"/>
    <w:rsid w:val="000804A0"/>
    <w:rsid w:val="00090F50"/>
    <w:rsid w:val="00091257"/>
    <w:rsid w:val="00093439"/>
    <w:rsid w:val="00093AE7"/>
    <w:rsid w:val="000944A0"/>
    <w:rsid w:val="000A1F82"/>
    <w:rsid w:val="000B209F"/>
    <w:rsid w:val="000B2654"/>
    <w:rsid w:val="000B411F"/>
    <w:rsid w:val="000B4890"/>
    <w:rsid w:val="000B731C"/>
    <w:rsid w:val="000C028B"/>
    <w:rsid w:val="000C792C"/>
    <w:rsid w:val="000E3AE6"/>
    <w:rsid w:val="000E4E3D"/>
    <w:rsid w:val="000F1BD2"/>
    <w:rsid w:val="000F2BE5"/>
    <w:rsid w:val="000F5073"/>
    <w:rsid w:val="000F5251"/>
    <w:rsid w:val="001009A2"/>
    <w:rsid w:val="00105DCC"/>
    <w:rsid w:val="0010605B"/>
    <w:rsid w:val="00112F04"/>
    <w:rsid w:val="00112FB7"/>
    <w:rsid w:val="00113B8D"/>
    <w:rsid w:val="00113B91"/>
    <w:rsid w:val="00121F24"/>
    <w:rsid w:val="0012253B"/>
    <w:rsid w:val="00134E0C"/>
    <w:rsid w:val="00152CF3"/>
    <w:rsid w:val="001534F6"/>
    <w:rsid w:val="00157C12"/>
    <w:rsid w:val="00164824"/>
    <w:rsid w:val="0017085D"/>
    <w:rsid w:val="00174707"/>
    <w:rsid w:val="00181E92"/>
    <w:rsid w:val="00193609"/>
    <w:rsid w:val="001A4641"/>
    <w:rsid w:val="001C6C74"/>
    <w:rsid w:val="001C743D"/>
    <w:rsid w:val="001E0208"/>
    <w:rsid w:val="001E34A7"/>
    <w:rsid w:val="001E689C"/>
    <w:rsid w:val="001F0229"/>
    <w:rsid w:val="00211D93"/>
    <w:rsid w:val="00213246"/>
    <w:rsid w:val="00213344"/>
    <w:rsid w:val="00213A2C"/>
    <w:rsid w:val="00216C4F"/>
    <w:rsid w:val="0023288A"/>
    <w:rsid w:val="002337D0"/>
    <w:rsid w:val="00236C98"/>
    <w:rsid w:val="00236E61"/>
    <w:rsid w:val="00250C4D"/>
    <w:rsid w:val="00251C6D"/>
    <w:rsid w:val="00252FAD"/>
    <w:rsid w:val="0025585F"/>
    <w:rsid w:val="00275F13"/>
    <w:rsid w:val="002846E4"/>
    <w:rsid w:val="00291A24"/>
    <w:rsid w:val="0029478B"/>
    <w:rsid w:val="002A739D"/>
    <w:rsid w:val="002B1C47"/>
    <w:rsid w:val="002B238D"/>
    <w:rsid w:val="002B63B4"/>
    <w:rsid w:val="002D201C"/>
    <w:rsid w:val="002D574E"/>
    <w:rsid w:val="002F35A5"/>
    <w:rsid w:val="002F60EF"/>
    <w:rsid w:val="00306703"/>
    <w:rsid w:val="00313BBD"/>
    <w:rsid w:val="00315382"/>
    <w:rsid w:val="00316030"/>
    <w:rsid w:val="00316990"/>
    <w:rsid w:val="003203B8"/>
    <w:rsid w:val="003261AB"/>
    <w:rsid w:val="00327619"/>
    <w:rsid w:val="00330FB5"/>
    <w:rsid w:val="00332135"/>
    <w:rsid w:val="00333770"/>
    <w:rsid w:val="00333DE1"/>
    <w:rsid w:val="003414E8"/>
    <w:rsid w:val="00344DB0"/>
    <w:rsid w:val="0034763C"/>
    <w:rsid w:val="003507B5"/>
    <w:rsid w:val="003511D5"/>
    <w:rsid w:val="00362772"/>
    <w:rsid w:val="0036780B"/>
    <w:rsid w:val="00371592"/>
    <w:rsid w:val="00371B4E"/>
    <w:rsid w:val="00393257"/>
    <w:rsid w:val="003A2900"/>
    <w:rsid w:val="003A345E"/>
    <w:rsid w:val="003A5B80"/>
    <w:rsid w:val="003B1E4C"/>
    <w:rsid w:val="003B2748"/>
    <w:rsid w:val="003B6B70"/>
    <w:rsid w:val="003D46CC"/>
    <w:rsid w:val="003E2678"/>
    <w:rsid w:val="003E455C"/>
    <w:rsid w:val="003F3762"/>
    <w:rsid w:val="00402DA0"/>
    <w:rsid w:val="00406AD8"/>
    <w:rsid w:val="004207FC"/>
    <w:rsid w:val="00426714"/>
    <w:rsid w:val="0043043F"/>
    <w:rsid w:val="00432522"/>
    <w:rsid w:val="0043614B"/>
    <w:rsid w:val="00436164"/>
    <w:rsid w:val="00437B3E"/>
    <w:rsid w:val="00440D9E"/>
    <w:rsid w:val="00443210"/>
    <w:rsid w:val="0044478E"/>
    <w:rsid w:val="00444864"/>
    <w:rsid w:val="00450ADC"/>
    <w:rsid w:val="00451D9D"/>
    <w:rsid w:val="004567B4"/>
    <w:rsid w:val="0046028E"/>
    <w:rsid w:val="00460E63"/>
    <w:rsid w:val="004623CC"/>
    <w:rsid w:val="0047755A"/>
    <w:rsid w:val="00492E5F"/>
    <w:rsid w:val="004A4331"/>
    <w:rsid w:val="004B1375"/>
    <w:rsid w:val="004B2162"/>
    <w:rsid w:val="004B62DA"/>
    <w:rsid w:val="004C4F5C"/>
    <w:rsid w:val="004D7551"/>
    <w:rsid w:val="004F1A65"/>
    <w:rsid w:val="004F6974"/>
    <w:rsid w:val="005049EF"/>
    <w:rsid w:val="00506943"/>
    <w:rsid w:val="005119B4"/>
    <w:rsid w:val="00520D49"/>
    <w:rsid w:val="00521482"/>
    <w:rsid w:val="00524149"/>
    <w:rsid w:val="005444D0"/>
    <w:rsid w:val="00544725"/>
    <w:rsid w:val="00550345"/>
    <w:rsid w:val="005516F0"/>
    <w:rsid w:val="00553346"/>
    <w:rsid w:val="00554505"/>
    <w:rsid w:val="005662AD"/>
    <w:rsid w:val="00567402"/>
    <w:rsid w:val="00567D83"/>
    <w:rsid w:val="00571D41"/>
    <w:rsid w:val="0057651A"/>
    <w:rsid w:val="00583157"/>
    <w:rsid w:val="00584BAD"/>
    <w:rsid w:val="00590542"/>
    <w:rsid w:val="00595730"/>
    <w:rsid w:val="005A5B5B"/>
    <w:rsid w:val="005B19D5"/>
    <w:rsid w:val="005C13B8"/>
    <w:rsid w:val="005C173A"/>
    <w:rsid w:val="005C2C6B"/>
    <w:rsid w:val="005C619E"/>
    <w:rsid w:val="006047C8"/>
    <w:rsid w:val="00613E8C"/>
    <w:rsid w:val="006220B7"/>
    <w:rsid w:val="00622E49"/>
    <w:rsid w:val="00623CA0"/>
    <w:rsid w:val="00625561"/>
    <w:rsid w:val="00626092"/>
    <w:rsid w:val="00626284"/>
    <w:rsid w:val="00627698"/>
    <w:rsid w:val="00630C9B"/>
    <w:rsid w:val="00636C9C"/>
    <w:rsid w:val="0064348A"/>
    <w:rsid w:val="00656EE6"/>
    <w:rsid w:val="006616C0"/>
    <w:rsid w:val="00672310"/>
    <w:rsid w:val="006800BA"/>
    <w:rsid w:val="0068496A"/>
    <w:rsid w:val="00686140"/>
    <w:rsid w:val="006C0598"/>
    <w:rsid w:val="006C1404"/>
    <w:rsid w:val="006C14C2"/>
    <w:rsid w:val="006D3A4F"/>
    <w:rsid w:val="006D54B8"/>
    <w:rsid w:val="006E1A70"/>
    <w:rsid w:val="006E2555"/>
    <w:rsid w:val="006E4813"/>
    <w:rsid w:val="006E7868"/>
    <w:rsid w:val="006F2A1B"/>
    <w:rsid w:val="006F3431"/>
    <w:rsid w:val="00710E9C"/>
    <w:rsid w:val="00712B52"/>
    <w:rsid w:val="00717E74"/>
    <w:rsid w:val="0073186F"/>
    <w:rsid w:val="00734C36"/>
    <w:rsid w:val="00753C26"/>
    <w:rsid w:val="007542AB"/>
    <w:rsid w:val="00757729"/>
    <w:rsid w:val="00763B18"/>
    <w:rsid w:val="00766956"/>
    <w:rsid w:val="00771882"/>
    <w:rsid w:val="00781A15"/>
    <w:rsid w:val="007937C5"/>
    <w:rsid w:val="007B1D17"/>
    <w:rsid w:val="007B4AB7"/>
    <w:rsid w:val="007B63B5"/>
    <w:rsid w:val="007C25D3"/>
    <w:rsid w:val="007D38A8"/>
    <w:rsid w:val="007D60DF"/>
    <w:rsid w:val="007D63B3"/>
    <w:rsid w:val="007D7531"/>
    <w:rsid w:val="007E09D1"/>
    <w:rsid w:val="007E0AC4"/>
    <w:rsid w:val="007E20EB"/>
    <w:rsid w:val="007E31E7"/>
    <w:rsid w:val="007E7797"/>
    <w:rsid w:val="007F79FB"/>
    <w:rsid w:val="00800C2E"/>
    <w:rsid w:val="00800E81"/>
    <w:rsid w:val="00802D9D"/>
    <w:rsid w:val="00810593"/>
    <w:rsid w:val="00846939"/>
    <w:rsid w:val="008507F5"/>
    <w:rsid w:val="008601E6"/>
    <w:rsid w:val="008628E3"/>
    <w:rsid w:val="008641AA"/>
    <w:rsid w:val="00871D9B"/>
    <w:rsid w:val="00876A90"/>
    <w:rsid w:val="00895E37"/>
    <w:rsid w:val="008A4E51"/>
    <w:rsid w:val="008B0D76"/>
    <w:rsid w:val="008B1E1C"/>
    <w:rsid w:val="008B2657"/>
    <w:rsid w:val="008B433A"/>
    <w:rsid w:val="008B44FB"/>
    <w:rsid w:val="008C1549"/>
    <w:rsid w:val="008C240D"/>
    <w:rsid w:val="008C3F8D"/>
    <w:rsid w:val="008C680A"/>
    <w:rsid w:val="008C709E"/>
    <w:rsid w:val="009020E6"/>
    <w:rsid w:val="009022CB"/>
    <w:rsid w:val="00902713"/>
    <w:rsid w:val="00920800"/>
    <w:rsid w:val="00923085"/>
    <w:rsid w:val="0094338F"/>
    <w:rsid w:val="009458A5"/>
    <w:rsid w:val="0095460A"/>
    <w:rsid w:val="00957B35"/>
    <w:rsid w:val="0096287C"/>
    <w:rsid w:val="00973C0C"/>
    <w:rsid w:val="009848E9"/>
    <w:rsid w:val="0098491E"/>
    <w:rsid w:val="00994A17"/>
    <w:rsid w:val="009952AE"/>
    <w:rsid w:val="009A1F6C"/>
    <w:rsid w:val="009A57C6"/>
    <w:rsid w:val="009C0C9C"/>
    <w:rsid w:val="009C47D6"/>
    <w:rsid w:val="009C7A5B"/>
    <w:rsid w:val="009F272B"/>
    <w:rsid w:val="009F633F"/>
    <w:rsid w:val="00A06652"/>
    <w:rsid w:val="00A172AA"/>
    <w:rsid w:val="00A179F5"/>
    <w:rsid w:val="00A20EAB"/>
    <w:rsid w:val="00A355CC"/>
    <w:rsid w:val="00A36BF9"/>
    <w:rsid w:val="00A372F9"/>
    <w:rsid w:val="00A41A0F"/>
    <w:rsid w:val="00A45F6F"/>
    <w:rsid w:val="00A50F00"/>
    <w:rsid w:val="00A515BF"/>
    <w:rsid w:val="00A525C9"/>
    <w:rsid w:val="00A5688E"/>
    <w:rsid w:val="00A60D15"/>
    <w:rsid w:val="00A7180B"/>
    <w:rsid w:val="00A73A0F"/>
    <w:rsid w:val="00A9239A"/>
    <w:rsid w:val="00AA513B"/>
    <w:rsid w:val="00AB2185"/>
    <w:rsid w:val="00AB22D4"/>
    <w:rsid w:val="00AB63A1"/>
    <w:rsid w:val="00AC20C6"/>
    <w:rsid w:val="00AC4073"/>
    <w:rsid w:val="00AC534B"/>
    <w:rsid w:val="00AD4385"/>
    <w:rsid w:val="00AE2923"/>
    <w:rsid w:val="00AE5A2A"/>
    <w:rsid w:val="00AF1127"/>
    <w:rsid w:val="00AF2BB1"/>
    <w:rsid w:val="00AF5F15"/>
    <w:rsid w:val="00AF6C73"/>
    <w:rsid w:val="00AF71D6"/>
    <w:rsid w:val="00B02BEF"/>
    <w:rsid w:val="00B0450B"/>
    <w:rsid w:val="00B059B5"/>
    <w:rsid w:val="00B11B7E"/>
    <w:rsid w:val="00B14641"/>
    <w:rsid w:val="00B26727"/>
    <w:rsid w:val="00B26F42"/>
    <w:rsid w:val="00B27DD9"/>
    <w:rsid w:val="00B3251C"/>
    <w:rsid w:val="00B518E2"/>
    <w:rsid w:val="00B532CE"/>
    <w:rsid w:val="00B62E07"/>
    <w:rsid w:val="00B7386E"/>
    <w:rsid w:val="00B755F5"/>
    <w:rsid w:val="00B76B2B"/>
    <w:rsid w:val="00B83357"/>
    <w:rsid w:val="00B84771"/>
    <w:rsid w:val="00B85B26"/>
    <w:rsid w:val="00B85BB0"/>
    <w:rsid w:val="00B861A4"/>
    <w:rsid w:val="00B96A43"/>
    <w:rsid w:val="00B971AE"/>
    <w:rsid w:val="00BA450F"/>
    <w:rsid w:val="00BA4CF2"/>
    <w:rsid w:val="00BA53E1"/>
    <w:rsid w:val="00BB2FA9"/>
    <w:rsid w:val="00BC1E1E"/>
    <w:rsid w:val="00BD2917"/>
    <w:rsid w:val="00BD3F50"/>
    <w:rsid w:val="00BD5280"/>
    <w:rsid w:val="00BE4919"/>
    <w:rsid w:val="00BE521E"/>
    <w:rsid w:val="00C03617"/>
    <w:rsid w:val="00C1224C"/>
    <w:rsid w:val="00C1425A"/>
    <w:rsid w:val="00C22240"/>
    <w:rsid w:val="00C34EC6"/>
    <w:rsid w:val="00C370A3"/>
    <w:rsid w:val="00C40407"/>
    <w:rsid w:val="00C53D16"/>
    <w:rsid w:val="00C56481"/>
    <w:rsid w:val="00C6352B"/>
    <w:rsid w:val="00C63A0A"/>
    <w:rsid w:val="00C656CA"/>
    <w:rsid w:val="00C667ED"/>
    <w:rsid w:val="00C67287"/>
    <w:rsid w:val="00C72821"/>
    <w:rsid w:val="00C729BF"/>
    <w:rsid w:val="00C8106B"/>
    <w:rsid w:val="00C81FBC"/>
    <w:rsid w:val="00C822A3"/>
    <w:rsid w:val="00C913E8"/>
    <w:rsid w:val="00C97B96"/>
    <w:rsid w:val="00CA72E1"/>
    <w:rsid w:val="00CC3673"/>
    <w:rsid w:val="00CC4803"/>
    <w:rsid w:val="00CC6B20"/>
    <w:rsid w:val="00CC6D80"/>
    <w:rsid w:val="00CC751B"/>
    <w:rsid w:val="00CD216A"/>
    <w:rsid w:val="00CD545D"/>
    <w:rsid w:val="00CD7DAC"/>
    <w:rsid w:val="00CE36B9"/>
    <w:rsid w:val="00CF186B"/>
    <w:rsid w:val="00CF775F"/>
    <w:rsid w:val="00D02198"/>
    <w:rsid w:val="00D1289C"/>
    <w:rsid w:val="00D145DE"/>
    <w:rsid w:val="00D1556D"/>
    <w:rsid w:val="00D167D2"/>
    <w:rsid w:val="00D17959"/>
    <w:rsid w:val="00D36BB2"/>
    <w:rsid w:val="00D6195F"/>
    <w:rsid w:val="00D628BD"/>
    <w:rsid w:val="00D71B4E"/>
    <w:rsid w:val="00D71E23"/>
    <w:rsid w:val="00D72F02"/>
    <w:rsid w:val="00D74FBC"/>
    <w:rsid w:val="00D85109"/>
    <w:rsid w:val="00D87324"/>
    <w:rsid w:val="00D9160E"/>
    <w:rsid w:val="00D91DF8"/>
    <w:rsid w:val="00D93745"/>
    <w:rsid w:val="00D95A7B"/>
    <w:rsid w:val="00DA1D6F"/>
    <w:rsid w:val="00DA7368"/>
    <w:rsid w:val="00DB6155"/>
    <w:rsid w:val="00DC09EC"/>
    <w:rsid w:val="00DC31AE"/>
    <w:rsid w:val="00DC5A20"/>
    <w:rsid w:val="00DC6738"/>
    <w:rsid w:val="00DE205A"/>
    <w:rsid w:val="00DE5C05"/>
    <w:rsid w:val="00DF47AF"/>
    <w:rsid w:val="00DF5CB0"/>
    <w:rsid w:val="00E0008D"/>
    <w:rsid w:val="00E016F7"/>
    <w:rsid w:val="00E035BC"/>
    <w:rsid w:val="00E0402B"/>
    <w:rsid w:val="00E07FFA"/>
    <w:rsid w:val="00E200AB"/>
    <w:rsid w:val="00E368DA"/>
    <w:rsid w:val="00E415BE"/>
    <w:rsid w:val="00E41B09"/>
    <w:rsid w:val="00E4225A"/>
    <w:rsid w:val="00E42D58"/>
    <w:rsid w:val="00E55B23"/>
    <w:rsid w:val="00E65955"/>
    <w:rsid w:val="00E779CC"/>
    <w:rsid w:val="00E86BE9"/>
    <w:rsid w:val="00EA17A5"/>
    <w:rsid w:val="00EA1BFE"/>
    <w:rsid w:val="00EB214A"/>
    <w:rsid w:val="00EB4031"/>
    <w:rsid w:val="00EB7B26"/>
    <w:rsid w:val="00ED16A1"/>
    <w:rsid w:val="00ED4269"/>
    <w:rsid w:val="00ED50B9"/>
    <w:rsid w:val="00EE0F96"/>
    <w:rsid w:val="00EF1C10"/>
    <w:rsid w:val="00EF3E41"/>
    <w:rsid w:val="00EF741C"/>
    <w:rsid w:val="00F01784"/>
    <w:rsid w:val="00F03401"/>
    <w:rsid w:val="00F04739"/>
    <w:rsid w:val="00F1364F"/>
    <w:rsid w:val="00F16448"/>
    <w:rsid w:val="00F20305"/>
    <w:rsid w:val="00F23563"/>
    <w:rsid w:val="00F32710"/>
    <w:rsid w:val="00F33B74"/>
    <w:rsid w:val="00F35E97"/>
    <w:rsid w:val="00F37BA4"/>
    <w:rsid w:val="00F42226"/>
    <w:rsid w:val="00F46F7E"/>
    <w:rsid w:val="00F8272C"/>
    <w:rsid w:val="00FA1628"/>
    <w:rsid w:val="00FA20DB"/>
    <w:rsid w:val="00FA461B"/>
    <w:rsid w:val="00FB0FFE"/>
    <w:rsid w:val="00FB4634"/>
    <w:rsid w:val="00FB564D"/>
    <w:rsid w:val="00FC4FC6"/>
    <w:rsid w:val="00FC4FF6"/>
    <w:rsid w:val="00FC63FF"/>
    <w:rsid w:val="00FC65EF"/>
    <w:rsid w:val="00FD6DD0"/>
    <w:rsid w:val="00FE1508"/>
    <w:rsid w:val="00FE675A"/>
    <w:rsid w:val="00FF2645"/>
    <w:rsid w:val="00FF77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5BDC8"/>
  <w15:chartTrackingRefBased/>
  <w15:docId w15:val="{1D1B54D0-2C98-4AD2-994F-72ED2E89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7">
    <w:name w:val="heading 7"/>
    <w:basedOn w:val="Normal"/>
    <w:next w:val="Normal"/>
    <w:link w:val="Ttulo7Char"/>
    <w:uiPriority w:val="9"/>
    <w:semiHidden/>
    <w:unhideWhenUsed/>
    <w:qFormat/>
    <w:rsid w:val="006C1404"/>
    <w:pPr>
      <w:spacing w:before="240" w:after="60" w:line="276"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607A"/>
    <w:pPr>
      <w:ind w:left="720"/>
      <w:contextualSpacing/>
    </w:pPr>
  </w:style>
  <w:style w:type="paragraph" w:styleId="Cabealho">
    <w:name w:val="header"/>
    <w:basedOn w:val="Normal"/>
    <w:link w:val="CabealhoChar"/>
    <w:uiPriority w:val="99"/>
    <w:unhideWhenUsed/>
    <w:rsid w:val="00AF2B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2BB1"/>
  </w:style>
  <w:style w:type="paragraph" w:styleId="Rodap">
    <w:name w:val="footer"/>
    <w:basedOn w:val="Normal"/>
    <w:link w:val="RodapChar"/>
    <w:uiPriority w:val="99"/>
    <w:unhideWhenUsed/>
    <w:rsid w:val="00AF2BB1"/>
    <w:pPr>
      <w:tabs>
        <w:tab w:val="center" w:pos="4252"/>
        <w:tab w:val="right" w:pos="8504"/>
      </w:tabs>
      <w:spacing w:after="0" w:line="240" w:lineRule="auto"/>
    </w:pPr>
  </w:style>
  <w:style w:type="character" w:customStyle="1" w:styleId="RodapChar">
    <w:name w:val="Rodapé Char"/>
    <w:basedOn w:val="Fontepargpadro"/>
    <w:link w:val="Rodap"/>
    <w:uiPriority w:val="99"/>
    <w:rsid w:val="00AF2BB1"/>
  </w:style>
  <w:style w:type="character" w:styleId="Refdecomentrio">
    <w:name w:val="annotation reference"/>
    <w:basedOn w:val="Fontepargpadro"/>
    <w:uiPriority w:val="99"/>
    <w:semiHidden/>
    <w:unhideWhenUsed/>
    <w:rsid w:val="00091257"/>
    <w:rPr>
      <w:sz w:val="16"/>
      <w:szCs w:val="16"/>
    </w:rPr>
  </w:style>
  <w:style w:type="paragraph" w:styleId="Textodecomentrio">
    <w:name w:val="annotation text"/>
    <w:basedOn w:val="Normal"/>
    <w:link w:val="TextodecomentrioChar"/>
    <w:uiPriority w:val="99"/>
    <w:semiHidden/>
    <w:unhideWhenUsed/>
    <w:rsid w:val="0009125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1257"/>
    <w:rPr>
      <w:sz w:val="20"/>
      <w:szCs w:val="20"/>
    </w:rPr>
  </w:style>
  <w:style w:type="paragraph" w:styleId="Assuntodocomentrio">
    <w:name w:val="annotation subject"/>
    <w:basedOn w:val="Textodecomentrio"/>
    <w:next w:val="Textodecomentrio"/>
    <w:link w:val="AssuntodocomentrioChar"/>
    <w:uiPriority w:val="99"/>
    <w:semiHidden/>
    <w:unhideWhenUsed/>
    <w:rsid w:val="00091257"/>
    <w:rPr>
      <w:b/>
      <w:bCs/>
    </w:rPr>
  </w:style>
  <w:style w:type="character" w:customStyle="1" w:styleId="AssuntodocomentrioChar">
    <w:name w:val="Assunto do comentário Char"/>
    <w:basedOn w:val="TextodecomentrioChar"/>
    <w:link w:val="Assuntodocomentrio"/>
    <w:uiPriority w:val="99"/>
    <w:semiHidden/>
    <w:rsid w:val="00091257"/>
    <w:rPr>
      <w:b/>
      <w:bCs/>
      <w:sz w:val="20"/>
      <w:szCs w:val="20"/>
    </w:rPr>
  </w:style>
  <w:style w:type="paragraph" w:styleId="Textodebalo">
    <w:name w:val="Balloon Text"/>
    <w:basedOn w:val="Normal"/>
    <w:link w:val="TextodebaloChar"/>
    <w:uiPriority w:val="99"/>
    <w:semiHidden/>
    <w:unhideWhenUsed/>
    <w:rsid w:val="000912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1257"/>
    <w:rPr>
      <w:rFonts w:ascii="Segoe UI" w:hAnsi="Segoe UI" w:cs="Segoe UI"/>
      <w:sz w:val="18"/>
      <w:szCs w:val="18"/>
    </w:rPr>
  </w:style>
  <w:style w:type="paragraph" w:styleId="Reviso">
    <w:name w:val="Revision"/>
    <w:hidden/>
    <w:uiPriority w:val="99"/>
    <w:semiHidden/>
    <w:rsid w:val="00D1289C"/>
    <w:pPr>
      <w:spacing w:after="0" w:line="240" w:lineRule="auto"/>
    </w:pPr>
  </w:style>
  <w:style w:type="paragraph" w:styleId="Textodenotadefim">
    <w:name w:val="endnote text"/>
    <w:basedOn w:val="Normal"/>
    <w:link w:val="TextodenotadefimChar"/>
    <w:uiPriority w:val="99"/>
    <w:semiHidden/>
    <w:unhideWhenUsed/>
    <w:rsid w:val="00766956"/>
    <w:pPr>
      <w:spacing w:after="0" w:line="240" w:lineRule="auto"/>
    </w:pPr>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semiHidden/>
    <w:rsid w:val="00766956"/>
    <w:rPr>
      <w:rFonts w:ascii="Calibri" w:eastAsia="Calibri" w:hAnsi="Calibri" w:cs="Times New Roman"/>
      <w:sz w:val="20"/>
      <w:szCs w:val="20"/>
    </w:rPr>
  </w:style>
  <w:style w:type="character" w:styleId="Refdenotadefim">
    <w:name w:val="endnote reference"/>
    <w:basedOn w:val="Fontepargpadro"/>
    <w:uiPriority w:val="99"/>
    <w:semiHidden/>
    <w:unhideWhenUsed/>
    <w:rsid w:val="00766956"/>
    <w:rPr>
      <w:vertAlign w:val="superscript"/>
    </w:rPr>
  </w:style>
  <w:style w:type="paragraph" w:styleId="Textodenotaderodap">
    <w:name w:val="footnote text"/>
    <w:basedOn w:val="Normal"/>
    <w:link w:val="TextodenotaderodapChar"/>
    <w:uiPriority w:val="99"/>
    <w:semiHidden/>
    <w:unhideWhenUsed/>
    <w:rsid w:val="004567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67B4"/>
    <w:rPr>
      <w:sz w:val="20"/>
      <w:szCs w:val="20"/>
    </w:rPr>
  </w:style>
  <w:style w:type="character" w:styleId="Refdenotaderodap">
    <w:name w:val="footnote reference"/>
    <w:basedOn w:val="Fontepargpadro"/>
    <w:uiPriority w:val="99"/>
    <w:semiHidden/>
    <w:unhideWhenUsed/>
    <w:rsid w:val="004567B4"/>
    <w:rPr>
      <w:vertAlign w:val="superscript"/>
    </w:rPr>
  </w:style>
  <w:style w:type="character" w:styleId="Hyperlink">
    <w:name w:val="Hyperlink"/>
    <w:basedOn w:val="Fontepargpadro"/>
    <w:uiPriority w:val="99"/>
    <w:unhideWhenUsed/>
    <w:rsid w:val="00EB4031"/>
    <w:rPr>
      <w:color w:val="0563C1" w:themeColor="hyperlink"/>
      <w:u w:val="single"/>
    </w:rPr>
  </w:style>
  <w:style w:type="character" w:customStyle="1" w:styleId="MenoPendente1">
    <w:name w:val="Menção Pendente1"/>
    <w:basedOn w:val="Fontepargpadro"/>
    <w:uiPriority w:val="99"/>
    <w:semiHidden/>
    <w:unhideWhenUsed/>
    <w:rsid w:val="00EB4031"/>
    <w:rPr>
      <w:color w:val="605E5C"/>
      <w:shd w:val="clear" w:color="auto" w:fill="E1DFDD"/>
    </w:rPr>
  </w:style>
  <w:style w:type="character" w:customStyle="1" w:styleId="Ttulo7Char">
    <w:name w:val="Título 7 Char"/>
    <w:basedOn w:val="Fontepargpadro"/>
    <w:link w:val="Ttulo7"/>
    <w:uiPriority w:val="9"/>
    <w:semiHidden/>
    <w:rsid w:val="006C1404"/>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2975">
      <w:bodyDiv w:val="1"/>
      <w:marLeft w:val="0"/>
      <w:marRight w:val="0"/>
      <w:marTop w:val="0"/>
      <w:marBottom w:val="0"/>
      <w:divBdr>
        <w:top w:val="none" w:sz="0" w:space="0" w:color="auto"/>
        <w:left w:val="none" w:sz="0" w:space="0" w:color="auto"/>
        <w:bottom w:val="none" w:sz="0" w:space="0" w:color="auto"/>
        <w:right w:val="none" w:sz="0" w:space="0" w:color="auto"/>
      </w:divBdr>
    </w:div>
    <w:div w:id="65688880">
      <w:bodyDiv w:val="1"/>
      <w:marLeft w:val="0"/>
      <w:marRight w:val="0"/>
      <w:marTop w:val="0"/>
      <w:marBottom w:val="0"/>
      <w:divBdr>
        <w:top w:val="none" w:sz="0" w:space="0" w:color="auto"/>
        <w:left w:val="none" w:sz="0" w:space="0" w:color="auto"/>
        <w:bottom w:val="none" w:sz="0" w:space="0" w:color="auto"/>
        <w:right w:val="none" w:sz="0" w:space="0" w:color="auto"/>
      </w:divBdr>
    </w:div>
    <w:div w:id="187839482">
      <w:bodyDiv w:val="1"/>
      <w:marLeft w:val="0"/>
      <w:marRight w:val="0"/>
      <w:marTop w:val="0"/>
      <w:marBottom w:val="0"/>
      <w:divBdr>
        <w:top w:val="none" w:sz="0" w:space="0" w:color="auto"/>
        <w:left w:val="none" w:sz="0" w:space="0" w:color="auto"/>
        <w:bottom w:val="none" w:sz="0" w:space="0" w:color="auto"/>
        <w:right w:val="none" w:sz="0" w:space="0" w:color="auto"/>
      </w:divBdr>
    </w:div>
    <w:div w:id="543103278">
      <w:bodyDiv w:val="1"/>
      <w:marLeft w:val="0"/>
      <w:marRight w:val="0"/>
      <w:marTop w:val="0"/>
      <w:marBottom w:val="0"/>
      <w:divBdr>
        <w:top w:val="none" w:sz="0" w:space="0" w:color="auto"/>
        <w:left w:val="none" w:sz="0" w:space="0" w:color="auto"/>
        <w:bottom w:val="none" w:sz="0" w:space="0" w:color="auto"/>
        <w:right w:val="none" w:sz="0" w:space="0" w:color="auto"/>
      </w:divBdr>
    </w:div>
    <w:div w:id="772673861">
      <w:bodyDiv w:val="1"/>
      <w:marLeft w:val="0"/>
      <w:marRight w:val="0"/>
      <w:marTop w:val="0"/>
      <w:marBottom w:val="0"/>
      <w:divBdr>
        <w:top w:val="none" w:sz="0" w:space="0" w:color="auto"/>
        <w:left w:val="none" w:sz="0" w:space="0" w:color="auto"/>
        <w:bottom w:val="none" w:sz="0" w:space="0" w:color="auto"/>
        <w:right w:val="none" w:sz="0" w:space="0" w:color="auto"/>
      </w:divBdr>
    </w:div>
    <w:div w:id="891619227">
      <w:bodyDiv w:val="1"/>
      <w:marLeft w:val="0"/>
      <w:marRight w:val="0"/>
      <w:marTop w:val="0"/>
      <w:marBottom w:val="0"/>
      <w:divBdr>
        <w:top w:val="none" w:sz="0" w:space="0" w:color="auto"/>
        <w:left w:val="none" w:sz="0" w:space="0" w:color="auto"/>
        <w:bottom w:val="none" w:sz="0" w:space="0" w:color="auto"/>
        <w:right w:val="none" w:sz="0" w:space="0" w:color="auto"/>
      </w:divBdr>
    </w:div>
    <w:div w:id="1022391227">
      <w:bodyDiv w:val="1"/>
      <w:marLeft w:val="0"/>
      <w:marRight w:val="0"/>
      <w:marTop w:val="0"/>
      <w:marBottom w:val="0"/>
      <w:divBdr>
        <w:top w:val="none" w:sz="0" w:space="0" w:color="auto"/>
        <w:left w:val="none" w:sz="0" w:space="0" w:color="auto"/>
        <w:bottom w:val="none" w:sz="0" w:space="0" w:color="auto"/>
        <w:right w:val="none" w:sz="0" w:space="0" w:color="auto"/>
      </w:divBdr>
    </w:div>
    <w:div w:id="1253004005">
      <w:bodyDiv w:val="1"/>
      <w:marLeft w:val="0"/>
      <w:marRight w:val="0"/>
      <w:marTop w:val="0"/>
      <w:marBottom w:val="0"/>
      <w:divBdr>
        <w:top w:val="none" w:sz="0" w:space="0" w:color="auto"/>
        <w:left w:val="none" w:sz="0" w:space="0" w:color="auto"/>
        <w:bottom w:val="none" w:sz="0" w:space="0" w:color="auto"/>
        <w:right w:val="none" w:sz="0" w:space="0" w:color="auto"/>
      </w:divBdr>
    </w:div>
    <w:div w:id="1344093413">
      <w:bodyDiv w:val="1"/>
      <w:marLeft w:val="0"/>
      <w:marRight w:val="0"/>
      <w:marTop w:val="0"/>
      <w:marBottom w:val="0"/>
      <w:divBdr>
        <w:top w:val="none" w:sz="0" w:space="0" w:color="auto"/>
        <w:left w:val="none" w:sz="0" w:space="0" w:color="auto"/>
        <w:bottom w:val="none" w:sz="0" w:space="0" w:color="auto"/>
        <w:right w:val="none" w:sz="0" w:space="0" w:color="auto"/>
      </w:divBdr>
    </w:div>
    <w:div w:id="1642538764">
      <w:bodyDiv w:val="1"/>
      <w:marLeft w:val="0"/>
      <w:marRight w:val="0"/>
      <w:marTop w:val="0"/>
      <w:marBottom w:val="0"/>
      <w:divBdr>
        <w:top w:val="none" w:sz="0" w:space="0" w:color="auto"/>
        <w:left w:val="none" w:sz="0" w:space="0" w:color="auto"/>
        <w:bottom w:val="none" w:sz="0" w:space="0" w:color="auto"/>
        <w:right w:val="none" w:sz="0" w:space="0" w:color="auto"/>
      </w:divBdr>
    </w:div>
    <w:div w:id="1860967284">
      <w:bodyDiv w:val="1"/>
      <w:marLeft w:val="0"/>
      <w:marRight w:val="0"/>
      <w:marTop w:val="0"/>
      <w:marBottom w:val="0"/>
      <w:divBdr>
        <w:top w:val="none" w:sz="0" w:space="0" w:color="auto"/>
        <w:left w:val="none" w:sz="0" w:space="0" w:color="auto"/>
        <w:bottom w:val="none" w:sz="0" w:space="0" w:color="auto"/>
        <w:right w:val="none" w:sz="0" w:space="0" w:color="auto"/>
      </w:divBdr>
    </w:div>
    <w:div w:id="21195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C1696-8AC2-4958-B632-1B94390B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2490</Words>
  <Characters>13451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Borgo</dc:creator>
  <cp:keywords/>
  <dc:description/>
  <cp:lastModifiedBy>Fabricio Borgo</cp:lastModifiedBy>
  <cp:revision>2</cp:revision>
  <cp:lastPrinted>2022-01-06T20:46:00Z</cp:lastPrinted>
  <dcterms:created xsi:type="dcterms:W3CDTF">2022-01-07T15:05:00Z</dcterms:created>
  <dcterms:modified xsi:type="dcterms:W3CDTF">2022-01-07T15:05:00Z</dcterms:modified>
</cp:coreProperties>
</file>